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8C4" w:rsidRPr="002E0FB8" w:rsidRDefault="00E528C4" w:rsidP="002E0FB8">
      <w:pPr>
        <w:jc w:val="center"/>
        <w:rPr>
          <w:rFonts w:ascii="Century Gothic" w:hAnsi="Century Gothic"/>
          <w:b/>
          <w:sz w:val="32"/>
        </w:rPr>
      </w:pPr>
      <w:bookmarkStart w:id="0" w:name="_GoBack"/>
      <w:bookmarkEnd w:id="0"/>
    </w:p>
    <w:p w:rsidR="00E528C4" w:rsidRDefault="00E528C4" w:rsidP="002E0FB8">
      <w:pPr>
        <w:jc w:val="center"/>
        <w:rPr>
          <w:rFonts w:ascii="Century Gothic" w:hAnsi="Century Gothic"/>
          <w:b/>
          <w:sz w:val="36"/>
          <w:u w:val="single"/>
        </w:rPr>
      </w:pPr>
      <w:r w:rsidRPr="002E0FB8">
        <w:rPr>
          <w:rFonts w:ascii="Century Gothic" w:hAnsi="Century Gothic"/>
          <w:b/>
          <w:sz w:val="36"/>
          <w:u w:val="single"/>
        </w:rPr>
        <w:t>LA APLICACIÓN DE LA NORMATIVA INTERNACIONAL EN LAS COMBINACIONES DE NEGOCIO</w:t>
      </w:r>
      <w:r w:rsidR="00F1179C">
        <w:rPr>
          <w:rFonts w:ascii="Century Gothic" w:hAnsi="Century Gothic"/>
          <w:b/>
          <w:sz w:val="36"/>
          <w:u w:val="single"/>
        </w:rPr>
        <w:t xml:space="preserve"> EN SOCIEDADES COOPERATIVAS</w:t>
      </w:r>
    </w:p>
    <w:p w:rsidR="002E0FB8" w:rsidRPr="002E0FB8" w:rsidRDefault="002E0FB8" w:rsidP="002E0FB8">
      <w:pPr>
        <w:jc w:val="center"/>
        <w:rPr>
          <w:rFonts w:ascii="Century Gothic" w:hAnsi="Century Gothic"/>
          <w:b/>
          <w:sz w:val="36"/>
          <w:u w:val="single"/>
        </w:rPr>
      </w:pPr>
    </w:p>
    <w:p w:rsidR="002E0FB8" w:rsidRDefault="002E0FB8" w:rsidP="002E0FB8">
      <w:pPr>
        <w:jc w:val="center"/>
        <w:rPr>
          <w:rFonts w:ascii="Century Gothic" w:hAnsi="Century Gothic"/>
          <w:b/>
          <w:sz w:val="24"/>
        </w:rPr>
      </w:pPr>
      <w:r w:rsidRPr="002E0FB8">
        <w:rPr>
          <w:rFonts w:ascii="Century Gothic" w:hAnsi="Century Gothic"/>
          <w:b/>
          <w:sz w:val="24"/>
        </w:rPr>
        <w:t xml:space="preserve">Carlos Canales </w:t>
      </w:r>
      <w:proofErr w:type="spellStart"/>
      <w:r w:rsidRPr="002E0FB8">
        <w:rPr>
          <w:rFonts w:ascii="Century Gothic" w:hAnsi="Century Gothic"/>
          <w:b/>
          <w:sz w:val="24"/>
        </w:rPr>
        <w:t>Guerola</w:t>
      </w:r>
      <w:proofErr w:type="spellEnd"/>
    </w:p>
    <w:p w:rsidR="004652F7" w:rsidRPr="004652F7" w:rsidRDefault="004652F7" w:rsidP="002E0FB8">
      <w:pPr>
        <w:jc w:val="center"/>
        <w:rPr>
          <w:rFonts w:ascii="Century Gothic" w:hAnsi="Century Gothic"/>
          <w:sz w:val="24"/>
        </w:rPr>
      </w:pPr>
      <w:r w:rsidRPr="004652F7">
        <w:rPr>
          <w:rFonts w:ascii="Century Gothic" w:hAnsi="Century Gothic"/>
          <w:sz w:val="24"/>
        </w:rPr>
        <w:t>Facultad de Administración</w:t>
      </w:r>
      <w:r>
        <w:rPr>
          <w:rFonts w:ascii="Century Gothic" w:hAnsi="Century Gothic"/>
          <w:sz w:val="24"/>
        </w:rPr>
        <w:t xml:space="preserve"> de Empresas. Universidad </w:t>
      </w:r>
      <w:proofErr w:type="spellStart"/>
      <w:r>
        <w:rPr>
          <w:rFonts w:ascii="Century Gothic" w:hAnsi="Century Gothic"/>
          <w:sz w:val="24"/>
        </w:rPr>
        <w:t>Politè</w:t>
      </w:r>
      <w:r w:rsidRPr="004652F7">
        <w:rPr>
          <w:rFonts w:ascii="Century Gothic" w:hAnsi="Century Gothic"/>
          <w:sz w:val="24"/>
        </w:rPr>
        <w:t>cnica</w:t>
      </w:r>
      <w:proofErr w:type="spellEnd"/>
      <w:r w:rsidRPr="004652F7">
        <w:rPr>
          <w:rFonts w:ascii="Century Gothic" w:hAnsi="Century Gothic"/>
          <w:sz w:val="24"/>
        </w:rPr>
        <w:t xml:space="preserve"> de Valencia</w:t>
      </w:r>
    </w:p>
    <w:p w:rsidR="00E528C4" w:rsidRPr="002E0FB8" w:rsidRDefault="004652F7" w:rsidP="002E0FB8">
      <w:pPr>
        <w:jc w:val="center"/>
        <w:rPr>
          <w:rFonts w:ascii="Century Gothic" w:hAnsi="Century Gothic"/>
          <w:b/>
          <w:sz w:val="24"/>
        </w:rPr>
      </w:pPr>
      <w:r>
        <w:rPr>
          <w:rFonts w:ascii="Century Gothic" w:hAnsi="Century Gothic"/>
          <w:b/>
          <w:sz w:val="24"/>
        </w:rPr>
        <w:t>Fernando Polo-</w:t>
      </w:r>
      <w:r w:rsidR="002E0FB8" w:rsidRPr="002E0FB8">
        <w:rPr>
          <w:rFonts w:ascii="Century Gothic" w:hAnsi="Century Gothic"/>
          <w:b/>
          <w:sz w:val="24"/>
        </w:rPr>
        <w:t>Garrido</w:t>
      </w:r>
      <w:r>
        <w:rPr>
          <w:rFonts w:ascii="Century Gothic" w:hAnsi="Century Gothic"/>
          <w:b/>
          <w:sz w:val="24"/>
        </w:rPr>
        <w:t>*</w:t>
      </w:r>
      <w:r w:rsidRPr="004652F7">
        <w:rPr>
          <w:rStyle w:val="Refdenotaalpie"/>
          <w:rFonts w:ascii="Century Gothic" w:hAnsi="Century Gothic"/>
          <w:b/>
          <w:color w:val="FFFFFF" w:themeColor="background1"/>
          <w:sz w:val="24"/>
        </w:rPr>
        <w:footnoteReference w:id="1"/>
      </w:r>
    </w:p>
    <w:p w:rsidR="004652F7" w:rsidRPr="004652F7" w:rsidRDefault="004652F7" w:rsidP="004652F7">
      <w:pPr>
        <w:jc w:val="center"/>
        <w:rPr>
          <w:rFonts w:ascii="Century Gothic" w:hAnsi="Century Gothic"/>
          <w:sz w:val="24"/>
        </w:rPr>
      </w:pPr>
      <w:r>
        <w:rPr>
          <w:rFonts w:ascii="Century Gothic" w:hAnsi="Century Gothic"/>
          <w:sz w:val="24"/>
        </w:rPr>
        <w:t xml:space="preserve">CEGEA. Universidad </w:t>
      </w:r>
      <w:proofErr w:type="spellStart"/>
      <w:r>
        <w:rPr>
          <w:rFonts w:ascii="Century Gothic" w:hAnsi="Century Gothic"/>
          <w:sz w:val="24"/>
        </w:rPr>
        <w:t>Politè</w:t>
      </w:r>
      <w:r w:rsidRPr="004652F7">
        <w:rPr>
          <w:rFonts w:ascii="Century Gothic" w:hAnsi="Century Gothic"/>
          <w:sz w:val="24"/>
        </w:rPr>
        <w:t>cnica</w:t>
      </w:r>
      <w:proofErr w:type="spellEnd"/>
      <w:r w:rsidRPr="004652F7">
        <w:rPr>
          <w:rFonts w:ascii="Century Gothic" w:hAnsi="Century Gothic"/>
          <w:sz w:val="24"/>
        </w:rPr>
        <w:t xml:space="preserve"> de Valencia</w:t>
      </w:r>
    </w:p>
    <w:p w:rsidR="002E0FB8" w:rsidRPr="002E0FB8" w:rsidRDefault="002E0FB8" w:rsidP="004652F7">
      <w:pPr>
        <w:rPr>
          <w:rFonts w:ascii="Century Gothic" w:hAnsi="Century Gothic"/>
          <w:b/>
          <w:sz w:val="28"/>
        </w:rPr>
      </w:pPr>
    </w:p>
    <w:p w:rsidR="003D5F72" w:rsidRDefault="00D82797" w:rsidP="001732BB">
      <w:pPr>
        <w:pStyle w:val="Ttulo1"/>
      </w:pPr>
      <w:r w:rsidRPr="00D82797">
        <w:t>RESUMEN</w:t>
      </w:r>
    </w:p>
    <w:p w:rsidR="00D82797" w:rsidRDefault="00D82797" w:rsidP="00D82797">
      <w:pPr>
        <w:rPr>
          <w:rFonts w:ascii="Arial" w:hAnsi="Arial"/>
        </w:rPr>
      </w:pPr>
      <w:r w:rsidRPr="00D82797">
        <w:rPr>
          <w:rFonts w:ascii="Arial" w:hAnsi="Arial"/>
        </w:rPr>
        <w:t xml:space="preserve">El desarrollo de la economía y las comunicaciones exige a las empresas adaptarse a un entorno cada vez más dinámico. Una de las formas más habituales de hacerlo son las combinaciones de negocios, son operaciones </w:t>
      </w:r>
      <w:proofErr w:type="spellStart"/>
      <w:r w:rsidRPr="00D82797">
        <w:rPr>
          <w:rFonts w:ascii="Arial" w:hAnsi="Arial"/>
        </w:rPr>
        <w:t>intersocietarias</w:t>
      </w:r>
      <w:proofErr w:type="spellEnd"/>
      <w:r w:rsidRPr="00D82797">
        <w:rPr>
          <w:rFonts w:ascii="Arial" w:hAnsi="Arial"/>
        </w:rPr>
        <w:t>, en las que una entidad obtiene el control de otra y con ello la responsabilidad de informar en sus estados financieros, se manifiestan en forma de absorciones, fusiones y adquisiciones de negocios entre otras.</w:t>
      </w:r>
    </w:p>
    <w:p w:rsidR="00D82797" w:rsidRDefault="00D82797" w:rsidP="00D82797">
      <w:pPr>
        <w:rPr>
          <w:rFonts w:ascii="Arial" w:hAnsi="Arial"/>
        </w:rPr>
      </w:pPr>
      <w:r>
        <w:rPr>
          <w:rFonts w:ascii="Arial" w:hAnsi="Arial"/>
        </w:rPr>
        <w:t>En e</w:t>
      </w:r>
      <w:r w:rsidR="00900BDF">
        <w:rPr>
          <w:rFonts w:ascii="Arial" w:hAnsi="Arial"/>
        </w:rPr>
        <w:t>l siguiente estudio se lleva a cabo</w:t>
      </w:r>
      <w:r>
        <w:rPr>
          <w:rFonts w:ascii="Arial" w:hAnsi="Arial"/>
        </w:rPr>
        <w:t xml:space="preserve"> un análisis teórico de la normativa NIIF 3 (2008) y se comprobará </w:t>
      </w:r>
      <w:r w:rsidRPr="00D82797">
        <w:rPr>
          <w:rFonts w:ascii="Arial" w:hAnsi="Arial"/>
        </w:rPr>
        <w:t>la aplicación de la normativa internacional</w:t>
      </w:r>
      <w:r>
        <w:rPr>
          <w:rFonts w:ascii="Arial" w:hAnsi="Arial"/>
        </w:rPr>
        <w:t xml:space="preserve"> establecida por el IASB </w:t>
      </w:r>
      <w:r w:rsidRPr="00D82797">
        <w:rPr>
          <w:rFonts w:ascii="Arial" w:hAnsi="Arial"/>
        </w:rPr>
        <w:t>adoptando distintos enfoques</w:t>
      </w:r>
      <w:r>
        <w:rPr>
          <w:rFonts w:ascii="Arial" w:hAnsi="Arial"/>
        </w:rPr>
        <w:t>,</w:t>
      </w:r>
      <w:r w:rsidRPr="00D82797">
        <w:rPr>
          <w:rFonts w:ascii="Arial" w:hAnsi="Arial"/>
        </w:rPr>
        <w:t xml:space="preserve"> como el análisis de la divulgación de los aspectos más relevante esta</w:t>
      </w:r>
      <w:r>
        <w:rPr>
          <w:rFonts w:ascii="Arial" w:hAnsi="Arial"/>
        </w:rPr>
        <w:t>blecidos por la normativa IFRS frente a la estadounidense (</w:t>
      </w:r>
      <w:r w:rsidRPr="00D82797">
        <w:rPr>
          <w:rFonts w:ascii="Arial" w:hAnsi="Arial"/>
        </w:rPr>
        <w:t>GAAP</w:t>
      </w:r>
      <w:r>
        <w:rPr>
          <w:rFonts w:ascii="Arial" w:hAnsi="Arial"/>
        </w:rPr>
        <w:t>)</w:t>
      </w:r>
      <w:r w:rsidRPr="00D82797">
        <w:rPr>
          <w:rFonts w:ascii="Arial" w:hAnsi="Arial"/>
        </w:rPr>
        <w:t xml:space="preserve"> en entidades cooperativas</w:t>
      </w:r>
      <w:r>
        <w:rPr>
          <w:rFonts w:ascii="Arial" w:hAnsi="Arial"/>
        </w:rPr>
        <w:t>.</w:t>
      </w:r>
    </w:p>
    <w:p w:rsidR="00515FE8" w:rsidRDefault="00900BDF" w:rsidP="00D82797">
      <w:pPr>
        <w:rPr>
          <w:rFonts w:ascii="Arial" w:hAnsi="Arial"/>
        </w:rPr>
      </w:pPr>
      <w:r>
        <w:rPr>
          <w:rFonts w:ascii="Arial" w:hAnsi="Arial"/>
        </w:rPr>
        <w:t>El estudio tiene</w:t>
      </w:r>
      <w:r w:rsidR="00515FE8" w:rsidRPr="00515FE8">
        <w:rPr>
          <w:rFonts w:ascii="Arial" w:hAnsi="Arial"/>
        </w:rPr>
        <w:t xml:space="preserve"> alca</w:t>
      </w:r>
      <w:r>
        <w:rPr>
          <w:rFonts w:ascii="Arial" w:hAnsi="Arial"/>
        </w:rPr>
        <w:t>nce internacional, se examinan</w:t>
      </w:r>
      <w:r w:rsidR="00515FE8" w:rsidRPr="00515FE8">
        <w:rPr>
          <w:rFonts w:ascii="Arial" w:hAnsi="Arial"/>
        </w:rPr>
        <w:t xml:space="preserve"> las entidades cooperativas más relevantes del mundo por ci</w:t>
      </w:r>
      <w:r>
        <w:rPr>
          <w:rFonts w:ascii="Arial" w:hAnsi="Arial"/>
        </w:rPr>
        <w:t>fra de ingresos, y se estudian</w:t>
      </w:r>
      <w:r w:rsidR="00515FE8" w:rsidRPr="00515FE8">
        <w:rPr>
          <w:rFonts w:ascii="Arial" w:hAnsi="Arial"/>
        </w:rPr>
        <w:t xml:space="preserve"> los periodos 2009,</w:t>
      </w:r>
      <w:r>
        <w:rPr>
          <w:rFonts w:ascii="Arial" w:hAnsi="Arial"/>
        </w:rPr>
        <w:t xml:space="preserve"> </w:t>
      </w:r>
      <w:r w:rsidR="00515FE8" w:rsidRPr="00515FE8">
        <w:rPr>
          <w:rFonts w:ascii="Arial" w:hAnsi="Arial"/>
        </w:rPr>
        <w:t>2010 y las cuentas anuales más actuales</w:t>
      </w:r>
      <w:r>
        <w:rPr>
          <w:rFonts w:ascii="Arial" w:hAnsi="Arial"/>
        </w:rPr>
        <w:t xml:space="preserve"> en el momento se ha llevado a cabo el estudio (2015)</w:t>
      </w:r>
      <w:r w:rsidR="00515FE8" w:rsidRPr="00515FE8">
        <w:rPr>
          <w:rFonts w:ascii="Arial" w:hAnsi="Arial"/>
        </w:rPr>
        <w:t>, con la finalidad de efectuar un estudio minucioso del proceso de implementación de la normativa relativa a combinaciones de negocios en cooperativas.</w:t>
      </w:r>
    </w:p>
    <w:p w:rsidR="00515FE8" w:rsidRDefault="00515FE8" w:rsidP="00D82797">
      <w:pPr>
        <w:rPr>
          <w:rFonts w:ascii="Arial" w:hAnsi="Arial"/>
        </w:rPr>
      </w:pPr>
      <w:r>
        <w:rPr>
          <w:rFonts w:ascii="Arial" w:hAnsi="Arial"/>
        </w:rPr>
        <w:t>C</w:t>
      </w:r>
      <w:r w:rsidRPr="00515FE8">
        <w:rPr>
          <w:rFonts w:ascii="Arial" w:hAnsi="Arial"/>
        </w:rPr>
        <w:t>oncluimos que la normativa no se presenta de manera uniforme, la mayoría de las sociedades cooperativas, muestran la información necesaria establecida por la norma incoherentemente. Muchos aspectos establecidos por la normativa IFRS 3 (2008) relativos a cuestiones s</w:t>
      </w:r>
      <w:r w:rsidR="00474E19">
        <w:rPr>
          <w:rFonts w:ascii="Arial" w:hAnsi="Arial"/>
        </w:rPr>
        <w:t>ensibles no se exponen, interpretamos</w:t>
      </w:r>
      <w:r w:rsidR="009344A5">
        <w:rPr>
          <w:rFonts w:ascii="Arial" w:hAnsi="Arial"/>
        </w:rPr>
        <w:t xml:space="preserve"> que la causa</w:t>
      </w:r>
      <w:r w:rsidRPr="00515FE8">
        <w:rPr>
          <w:rFonts w:ascii="Arial" w:hAnsi="Arial"/>
        </w:rPr>
        <w:t xml:space="preserve"> de no divulgar esta información es proteger su ventaja competitiva frente a la competencia. Sin embargo, en todos lo</w:t>
      </w:r>
      <w:r w:rsidR="00474E19">
        <w:rPr>
          <w:rFonts w:ascii="Arial" w:hAnsi="Arial"/>
        </w:rPr>
        <w:t>s casos estudiados, la opinión</w:t>
      </w:r>
      <w:r w:rsidRPr="00515FE8">
        <w:rPr>
          <w:rFonts w:ascii="Arial" w:hAnsi="Arial"/>
        </w:rPr>
        <w:t xml:space="preserve"> de las auditorías es favorable, por lo tanto, en la actualidad las firmas de auditoría tampoco consideran necesario cumplir estrictamente la divulgación de la información requerida por la IFRS 3 (2008).</w:t>
      </w:r>
    </w:p>
    <w:p w:rsidR="00515FE8" w:rsidRDefault="00515FE8" w:rsidP="00D82797">
      <w:pPr>
        <w:rPr>
          <w:rFonts w:ascii="Arial" w:hAnsi="Arial"/>
        </w:rPr>
      </w:pPr>
    </w:p>
    <w:p w:rsidR="00515FE8" w:rsidRDefault="00515FE8" w:rsidP="00D82797">
      <w:pPr>
        <w:rPr>
          <w:rFonts w:ascii="Arial" w:hAnsi="Arial"/>
        </w:rPr>
      </w:pPr>
    </w:p>
    <w:p w:rsidR="00515FE8" w:rsidRDefault="00515FE8" w:rsidP="00D82797">
      <w:pPr>
        <w:rPr>
          <w:rFonts w:ascii="Arial" w:hAnsi="Arial"/>
        </w:rPr>
      </w:pPr>
      <w:r w:rsidRPr="00515FE8">
        <w:rPr>
          <w:rFonts w:ascii="Arial" w:hAnsi="Arial"/>
          <w:b/>
        </w:rPr>
        <w:t>Palabras clave:</w:t>
      </w:r>
      <w:r>
        <w:rPr>
          <w:rFonts w:ascii="Arial" w:hAnsi="Arial"/>
        </w:rPr>
        <w:t xml:space="preserve"> </w:t>
      </w:r>
      <w:r w:rsidRPr="00515FE8">
        <w:rPr>
          <w:rFonts w:ascii="Arial" w:hAnsi="Arial"/>
        </w:rPr>
        <w:t>Fondo de comercio, combinación de negocios, índice de divulgación, cooperativas, valor razonable, método de adquisición, pasivos contingentes, deterioro.</w:t>
      </w:r>
    </w:p>
    <w:p w:rsidR="002B6B68" w:rsidRDefault="002B6B68" w:rsidP="00D82797">
      <w:pPr>
        <w:rPr>
          <w:rFonts w:ascii="Arial" w:hAnsi="Arial"/>
        </w:rPr>
      </w:pPr>
    </w:p>
    <w:p w:rsidR="002B6B68" w:rsidRDefault="002B6B68" w:rsidP="00D82797">
      <w:pPr>
        <w:rPr>
          <w:rFonts w:ascii="Arial" w:hAnsi="Arial"/>
        </w:rPr>
      </w:pPr>
    </w:p>
    <w:p w:rsidR="002B6B68" w:rsidRDefault="002B6B68" w:rsidP="00D82797">
      <w:pPr>
        <w:rPr>
          <w:rFonts w:ascii="Arial" w:hAnsi="Arial"/>
        </w:rPr>
      </w:pPr>
    </w:p>
    <w:p w:rsidR="00E36760" w:rsidRDefault="00E36760" w:rsidP="002B6B68">
      <w:pPr>
        <w:rPr>
          <w:rFonts w:ascii="Arial" w:hAnsi="Arial"/>
          <w:b/>
        </w:rPr>
      </w:pPr>
    </w:p>
    <w:p w:rsidR="00E36760" w:rsidRPr="00E36760" w:rsidRDefault="00E36760" w:rsidP="001732BB">
      <w:pPr>
        <w:pStyle w:val="Ttulo1"/>
      </w:pPr>
      <w:r>
        <w:t>¿QUÉ ES UNA COMBINACIÓN DE NEGOCIOS?</w:t>
      </w:r>
    </w:p>
    <w:p w:rsidR="00E36760" w:rsidRPr="00E36760" w:rsidRDefault="00E36760" w:rsidP="00E36760">
      <w:pPr>
        <w:rPr>
          <w:rFonts w:ascii="Arial" w:hAnsi="Arial"/>
        </w:rPr>
      </w:pPr>
      <w:r w:rsidRPr="00E36760">
        <w:rPr>
          <w:rFonts w:ascii="Arial" w:hAnsi="Arial"/>
        </w:rPr>
        <w:t>Se definirán las combinaciones de negocios como las operaciones en las que una entidad obtiene el control de otra empresa.</w:t>
      </w:r>
    </w:p>
    <w:p w:rsidR="00E36760" w:rsidRPr="00E36760" w:rsidRDefault="00E36760" w:rsidP="00E36760">
      <w:pPr>
        <w:rPr>
          <w:rFonts w:ascii="Arial" w:hAnsi="Arial"/>
        </w:rPr>
      </w:pPr>
      <w:r w:rsidRPr="00E36760">
        <w:rPr>
          <w:rFonts w:ascii="Arial" w:hAnsi="Arial"/>
        </w:rPr>
        <w:t>Una combinación de negocios queda definida en la NIIF 3, Apéndice A, como: “El poder para dirigir las políticas financieras y de explotación de una entidad o negocio, con el fin de obtener beneficios de sus actividades”.</w:t>
      </w:r>
    </w:p>
    <w:p w:rsidR="00E36760" w:rsidRPr="00E36760" w:rsidRDefault="00E36760" w:rsidP="00E36760">
      <w:pPr>
        <w:rPr>
          <w:rFonts w:ascii="Arial" w:hAnsi="Arial"/>
        </w:rPr>
      </w:pPr>
      <w:r w:rsidRPr="00E36760">
        <w:rPr>
          <w:rFonts w:ascii="Arial" w:hAnsi="Arial"/>
        </w:rPr>
        <w:t>Como establece la normativa, es necesaria la dirección del negocio adquirido por parte de la empresa adquirente para que se considere una combinación de negocios.</w:t>
      </w:r>
    </w:p>
    <w:p w:rsidR="00E36760" w:rsidRPr="00E36760" w:rsidRDefault="00A67CBD" w:rsidP="00E36760">
      <w:pPr>
        <w:rPr>
          <w:rFonts w:ascii="Arial" w:hAnsi="Arial"/>
        </w:rPr>
      </w:pPr>
      <w:r>
        <w:rPr>
          <w:rFonts w:ascii="Arial" w:hAnsi="Arial"/>
        </w:rPr>
        <w:t>Es obliga</w:t>
      </w:r>
      <w:r w:rsidR="00E36760" w:rsidRPr="00E36760">
        <w:rPr>
          <w:rFonts w:ascii="Arial" w:hAnsi="Arial"/>
        </w:rPr>
        <w:t xml:space="preserve">torio delimitar la definición de qué es una empresa, de acuerdo con la definición del Plan General de Contabilidad 2007:"un negocio es un conjunto de elementos patrimoniales constitutivos de una unidad económica dirigida y gestionada con el propósito de proporcionar un rendimiento, menores costes u otros beneficios económicos a sus propietarios o partícipes". </w:t>
      </w:r>
    </w:p>
    <w:p w:rsidR="00E36760" w:rsidRPr="00E36760" w:rsidRDefault="00E36760" w:rsidP="00E36760">
      <w:pPr>
        <w:rPr>
          <w:rFonts w:ascii="Arial" w:hAnsi="Arial"/>
        </w:rPr>
      </w:pPr>
      <w:r w:rsidRPr="00E36760">
        <w:rPr>
          <w:rFonts w:ascii="Arial" w:hAnsi="Arial"/>
        </w:rPr>
        <w:t>No es necesario que el negocio adquirido posea personalidad jurídica delimitada, sin embargo, es forzoso que constituya una unidad de actividad independiente y genere rendimiento, a través de la reducción de costes o la generación de rendimientos adicionales.</w:t>
      </w:r>
    </w:p>
    <w:p w:rsidR="00E36760" w:rsidRPr="00E36760" w:rsidRDefault="00E36760" w:rsidP="00E36760">
      <w:pPr>
        <w:rPr>
          <w:rFonts w:ascii="Arial" w:hAnsi="Arial"/>
          <w:b/>
          <w:u w:val="single"/>
        </w:rPr>
      </w:pPr>
      <w:r w:rsidRPr="00E36760">
        <w:rPr>
          <w:rFonts w:ascii="Arial" w:hAnsi="Arial"/>
          <w:b/>
          <w:u w:val="single"/>
        </w:rPr>
        <w:t>Métodos mediante los que una entidad adquirente puede obtener el control de la adquirida:</w:t>
      </w:r>
    </w:p>
    <w:p w:rsidR="00E36760" w:rsidRPr="00E36760" w:rsidRDefault="00E36760" w:rsidP="00E36760">
      <w:pPr>
        <w:rPr>
          <w:rFonts w:ascii="Arial" w:hAnsi="Arial"/>
        </w:rPr>
      </w:pPr>
      <w:r w:rsidRPr="00E36760">
        <w:rPr>
          <w:rFonts w:ascii="Arial" w:hAnsi="Arial"/>
        </w:rPr>
        <w:t>•</w:t>
      </w:r>
      <w:r w:rsidRPr="00E36760">
        <w:rPr>
          <w:rFonts w:ascii="Arial" w:hAnsi="Arial"/>
        </w:rPr>
        <w:tab/>
        <w:t>A través de la adquisición de los elementos que constituyen una actividad a la empresa adquirida, está compra se puede dar por desembolso de capital o por asunción de los saldos acreedores ligados a la misma.</w:t>
      </w:r>
    </w:p>
    <w:p w:rsidR="00E36760" w:rsidRPr="00E36760" w:rsidRDefault="00E36760" w:rsidP="00E36760">
      <w:pPr>
        <w:rPr>
          <w:rFonts w:ascii="Arial" w:hAnsi="Arial"/>
        </w:rPr>
      </w:pPr>
      <w:r w:rsidRPr="00E36760">
        <w:rPr>
          <w:rFonts w:ascii="Arial" w:hAnsi="Arial"/>
        </w:rPr>
        <w:t>•</w:t>
      </w:r>
      <w:r w:rsidRPr="00E36760">
        <w:rPr>
          <w:rFonts w:ascii="Arial" w:hAnsi="Arial"/>
        </w:rPr>
        <w:tab/>
        <w:t>Emisión de instrumentos de patrimonio y adquisiciones de los mismos por desembolso de capital o aportaciones no dinerarias.</w:t>
      </w:r>
    </w:p>
    <w:p w:rsidR="00E36760" w:rsidRPr="00E36760" w:rsidRDefault="00E36760" w:rsidP="00E36760">
      <w:pPr>
        <w:rPr>
          <w:rFonts w:ascii="Arial" w:hAnsi="Arial"/>
        </w:rPr>
      </w:pPr>
      <w:r w:rsidRPr="00E36760">
        <w:rPr>
          <w:rFonts w:ascii="Arial" w:hAnsi="Arial"/>
        </w:rPr>
        <w:t>•</w:t>
      </w:r>
      <w:r w:rsidRPr="00E36760">
        <w:rPr>
          <w:rFonts w:ascii="Arial" w:hAnsi="Arial"/>
        </w:rPr>
        <w:tab/>
        <w:t>Transacciones sin contraprestación, combinación únicamente basada en un contrato entre sociedades</w:t>
      </w:r>
    </w:p>
    <w:p w:rsidR="00E36760" w:rsidRPr="00E36760" w:rsidRDefault="00E36760" w:rsidP="00E36760">
      <w:pPr>
        <w:rPr>
          <w:rFonts w:ascii="Arial" w:hAnsi="Arial"/>
        </w:rPr>
      </w:pPr>
      <w:r w:rsidRPr="00E36760">
        <w:rPr>
          <w:rFonts w:ascii="Arial" w:hAnsi="Arial"/>
        </w:rPr>
        <w:t>•</w:t>
      </w:r>
      <w:r w:rsidRPr="00E36760">
        <w:rPr>
          <w:rFonts w:ascii="Arial" w:hAnsi="Arial"/>
        </w:rPr>
        <w:tab/>
        <w:t>Otros procedimientos de toma de control.</w:t>
      </w:r>
    </w:p>
    <w:p w:rsidR="00E36760" w:rsidRPr="00E36760" w:rsidRDefault="00E36760" w:rsidP="00E36760">
      <w:pPr>
        <w:rPr>
          <w:rFonts w:ascii="Arial" w:hAnsi="Arial"/>
        </w:rPr>
      </w:pPr>
      <w:r w:rsidRPr="00E36760">
        <w:rPr>
          <w:rFonts w:ascii="Arial" w:hAnsi="Arial"/>
        </w:rPr>
        <w:t>Asimismo, la estructura de la empresa adquirida variará dependiendo del ámbito externo en el que se encuentra (marco legal y fiscal, situación del sector en el que clasifica), de acuerdo con la NIIF 3 (2008), estas son algunas de las estructuras posibles:</w:t>
      </w:r>
    </w:p>
    <w:p w:rsidR="00E36760" w:rsidRPr="00E36760" w:rsidRDefault="00E36760" w:rsidP="00E36760">
      <w:pPr>
        <w:rPr>
          <w:rFonts w:ascii="Arial" w:hAnsi="Arial"/>
        </w:rPr>
      </w:pPr>
      <w:r w:rsidRPr="00E36760">
        <w:rPr>
          <w:rFonts w:ascii="Arial" w:hAnsi="Arial"/>
        </w:rPr>
        <w:t>•</w:t>
      </w:r>
      <w:r w:rsidRPr="00E36760">
        <w:rPr>
          <w:rFonts w:ascii="Arial" w:hAnsi="Arial"/>
        </w:rPr>
        <w:tab/>
        <w:t>Fusión de dos entidades en una.</w:t>
      </w:r>
    </w:p>
    <w:p w:rsidR="00E36760" w:rsidRPr="00E36760" w:rsidRDefault="00E36760" w:rsidP="00E36760">
      <w:pPr>
        <w:rPr>
          <w:rFonts w:ascii="Arial" w:hAnsi="Arial"/>
        </w:rPr>
      </w:pPr>
      <w:r w:rsidRPr="00E36760">
        <w:rPr>
          <w:rFonts w:ascii="Arial" w:hAnsi="Arial"/>
        </w:rPr>
        <w:t>•</w:t>
      </w:r>
      <w:r w:rsidRPr="00E36760">
        <w:rPr>
          <w:rFonts w:ascii="Arial" w:hAnsi="Arial"/>
        </w:rPr>
        <w:tab/>
        <w:t>Traspaso de los activos de la sociedad adquirida a la adquirente.</w:t>
      </w:r>
    </w:p>
    <w:p w:rsidR="00E36760" w:rsidRPr="00E36760" w:rsidRDefault="00E36760" w:rsidP="00E36760">
      <w:pPr>
        <w:rPr>
          <w:rFonts w:ascii="Arial" w:hAnsi="Arial"/>
        </w:rPr>
      </w:pPr>
      <w:r w:rsidRPr="00E36760">
        <w:rPr>
          <w:rFonts w:ascii="Arial" w:hAnsi="Arial"/>
        </w:rPr>
        <w:t>•</w:t>
      </w:r>
      <w:r w:rsidRPr="00E36760">
        <w:rPr>
          <w:rFonts w:ascii="Arial" w:hAnsi="Arial"/>
        </w:rPr>
        <w:tab/>
        <w:t>El control de un negocio pasa a ser propiedad de la entidad adquirente.</w:t>
      </w:r>
    </w:p>
    <w:p w:rsidR="004464BE" w:rsidRDefault="00E36760" w:rsidP="001732BB">
      <w:pPr>
        <w:rPr>
          <w:rFonts w:ascii="Arial" w:hAnsi="Arial"/>
        </w:rPr>
      </w:pPr>
      <w:r w:rsidRPr="00E36760">
        <w:rPr>
          <w:rFonts w:ascii="Arial" w:hAnsi="Arial"/>
        </w:rPr>
        <w:t>•</w:t>
      </w:r>
      <w:r w:rsidRPr="00E36760">
        <w:rPr>
          <w:rFonts w:ascii="Arial" w:hAnsi="Arial"/>
        </w:rPr>
        <w:tab/>
        <w:t>Los propietarios de una sociedad realizan la transferencia de su participación a una nueva empresa.</w:t>
      </w:r>
    </w:p>
    <w:p w:rsidR="001732BB" w:rsidRPr="001732BB" w:rsidRDefault="001732BB" w:rsidP="001732BB">
      <w:pPr>
        <w:rPr>
          <w:rFonts w:ascii="Arial" w:hAnsi="Arial"/>
        </w:rPr>
      </w:pPr>
    </w:p>
    <w:p w:rsidR="00C552EA" w:rsidRDefault="00C552EA" w:rsidP="001732BB">
      <w:pPr>
        <w:pStyle w:val="Ttulo1"/>
        <w:rPr>
          <w:u w:val="single"/>
        </w:rPr>
      </w:pPr>
      <w:r w:rsidRPr="002B6B68">
        <w:rPr>
          <w:u w:val="single"/>
        </w:rPr>
        <w:t>IMPORTANCIA DE LAS COMBINACIONES DE NEGOCIOS EN EL MUNDO EMPRESARIAL</w:t>
      </w:r>
    </w:p>
    <w:p w:rsidR="00B559DF" w:rsidRDefault="00B559DF" w:rsidP="00C552EA">
      <w:pPr>
        <w:rPr>
          <w:rFonts w:ascii="Arial" w:hAnsi="Arial"/>
        </w:rPr>
      </w:pPr>
    </w:p>
    <w:p w:rsidR="00C552EA" w:rsidRPr="002B6B68" w:rsidRDefault="00C552EA" w:rsidP="00C552EA">
      <w:pPr>
        <w:rPr>
          <w:rFonts w:ascii="Arial" w:hAnsi="Arial"/>
        </w:rPr>
      </w:pPr>
      <w:r w:rsidRPr="002B6B68">
        <w:rPr>
          <w:rFonts w:ascii="Arial" w:hAnsi="Arial"/>
        </w:rPr>
        <w:t>Las combinaciones de negocios conllevan grandes riesgos para la empresa adquirente, por ello, de acuerdo con la teoría de la “</w:t>
      </w:r>
      <w:proofErr w:type="spellStart"/>
      <w:r w:rsidRPr="002B6B68">
        <w:rPr>
          <w:rFonts w:ascii="Arial" w:hAnsi="Arial"/>
        </w:rPr>
        <w:t>due</w:t>
      </w:r>
      <w:proofErr w:type="spellEnd"/>
      <w:r w:rsidRPr="002B6B68">
        <w:rPr>
          <w:rFonts w:ascii="Arial" w:hAnsi="Arial"/>
        </w:rPr>
        <w:t xml:space="preserve"> </w:t>
      </w:r>
      <w:proofErr w:type="spellStart"/>
      <w:r w:rsidRPr="002B6B68">
        <w:rPr>
          <w:rFonts w:ascii="Arial" w:hAnsi="Arial"/>
        </w:rPr>
        <w:t>diligence</w:t>
      </w:r>
      <w:proofErr w:type="spellEnd"/>
      <w:r w:rsidRPr="002B6B68">
        <w:rPr>
          <w:rFonts w:ascii="Arial" w:hAnsi="Arial"/>
        </w:rPr>
        <w:t xml:space="preserve">”, es necesario que la entidad </w:t>
      </w:r>
      <w:r w:rsidRPr="002B6B68">
        <w:rPr>
          <w:rFonts w:ascii="Arial" w:hAnsi="Arial"/>
        </w:rPr>
        <w:lastRenderedPageBreak/>
        <w:t>compradora realice una investigación exhaustiva de todos los aspectos relevantes relativos a la entidad adquirida, con la finalidad de que la toma de la decisión se realice reflexivamente con la evidencia suficiente y se evalúen en profundidad todas las cuestiones relevantes de la combinación, los costes, beneficios y riesgos.</w:t>
      </w:r>
    </w:p>
    <w:p w:rsidR="00C552EA" w:rsidRPr="002B6B68" w:rsidRDefault="00C552EA" w:rsidP="00C552EA">
      <w:pPr>
        <w:rPr>
          <w:rFonts w:ascii="Arial" w:hAnsi="Arial"/>
        </w:rPr>
      </w:pPr>
      <w:r w:rsidRPr="002B6B68">
        <w:rPr>
          <w:rFonts w:ascii="Arial" w:hAnsi="Arial"/>
        </w:rPr>
        <w:t xml:space="preserve">Estas cuestiones a analizar tienen especial importancia cuando las compañías adquiridas no tienen el tamaño suficiente para haber sido analizadas previamente por los mercados públicos. </w:t>
      </w:r>
    </w:p>
    <w:p w:rsidR="00C552EA" w:rsidRPr="002B6B68" w:rsidRDefault="00C552EA" w:rsidP="00C552EA">
      <w:pPr>
        <w:rPr>
          <w:rFonts w:ascii="Arial" w:hAnsi="Arial"/>
        </w:rPr>
      </w:pPr>
      <w:r w:rsidRPr="002B6B68">
        <w:rPr>
          <w:rFonts w:ascii="Arial" w:hAnsi="Arial"/>
        </w:rPr>
        <w:t>A continuación, se expondrán algunas de las cuestiones clave a analizar en las combinaciones de negocios:</w:t>
      </w:r>
      <w:r w:rsidR="004464BE">
        <w:rPr>
          <w:rFonts w:ascii="Arial" w:hAnsi="Arial"/>
        </w:rPr>
        <w:t xml:space="preserve"> La e</w:t>
      </w:r>
      <w:r>
        <w:rPr>
          <w:rFonts w:ascii="Arial" w:hAnsi="Arial"/>
        </w:rPr>
        <w:t xml:space="preserve">volución </w:t>
      </w:r>
      <w:r w:rsidR="004464BE">
        <w:rPr>
          <w:rFonts w:ascii="Arial" w:hAnsi="Arial"/>
        </w:rPr>
        <w:t>financiera de la empresa, i</w:t>
      </w:r>
      <w:r w:rsidRPr="002B6B68">
        <w:rPr>
          <w:rFonts w:ascii="Arial" w:hAnsi="Arial"/>
        </w:rPr>
        <w:t>nformación relativa a la innovación y la propiedad intelectual</w:t>
      </w:r>
      <w:r w:rsidR="004464BE">
        <w:rPr>
          <w:rFonts w:ascii="Arial" w:hAnsi="Arial"/>
        </w:rPr>
        <w:t>, futuras s</w:t>
      </w:r>
      <w:r w:rsidRPr="002B6B68">
        <w:rPr>
          <w:rFonts w:ascii="Arial" w:hAnsi="Arial"/>
        </w:rPr>
        <w:t xml:space="preserve">inergias </w:t>
      </w:r>
      <w:r w:rsidR="004464BE">
        <w:rPr>
          <w:rFonts w:ascii="Arial" w:hAnsi="Arial"/>
        </w:rPr>
        <w:t>entre las compañías combinadas, Cartera de clientes y distribución de las ventas</w:t>
      </w:r>
      <w:r w:rsidRPr="002B6B68">
        <w:rPr>
          <w:rFonts w:ascii="Arial" w:hAnsi="Arial"/>
        </w:rPr>
        <w:t>.</w:t>
      </w:r>
    </w:p>
    <w:p w:rsidR="00C552EA" w:rsidRDefault="00C552EA" w:rsidP="00C552EA">
      <w:pPr>
        <w:rPr>
          <w:rFonts w:ascii="Arial" w:hAnsi="Arial"/>
        </w:rPr>
      </w:pPr>
      <w:r w:rsidRPr="002B6B68">
        <w:rPr>
          <w:rFonts w:ascii="Arial" w:hAnsi="Arial"/>
        </w:rPr>
        <w:t>Otros aspectos relevantes a analizar de acuerdo con la publicación serán: Los contratos firmados por la entidad adquirida, la gestión de los empleados, los litigios de la entidad, las cuestiones sobre impuestos, posibles problemas con entidades reguladoras y su gestión del riesgo con compañías aseguradoras.</w:t>
      </w:r>
    </w:p>
    <w:p w:rsidR="00C552EA" w:rsidRDefault="00C552EA" w:rsidP="00E36760">
      <w:pPr>
        <w:rPr>
          <w:rFonts w:ascii="Arial" w:hAnsi="Arial"/>
        </w:rPr>
      </w:pPr>
    </w:p>
    <w:p w:rsidR="00C552EA" w:rsidRPr="00C552EA" w:rsidRDefault="00C552EA" w:rsidP="001732BB">
      <w:pPr>
        <w:pStyle w:val="Ttulo1"/>
      </w:pPr>
      <w:r w:rsidRPr="00C552EA">
        <w:t>NORMA INTERNACIONAL DE INFORMACIÓN FINANCIERA 3 (Revisión 2008)</w:t>
      </w:r>
    </w:p>
    <w:p w:rsidR="00C552EA" w:rsidRPr="00C552EA" w:rsidRDefault="00C552EA" w:rsidP="00C552EA">
      <w:pPr>
        <w:rPr>
          <w:rFonts w:ascii="Arial" w:hAnsi="Arial"/>
        </w:rPr>
      </w:pPr>
    </w:p>
    <w:p w:rsidR="00C552EA" w:rsidRPr="00C552EA" w:rsidRDefault="00C552EA" w:rsidP="00C552EA">
      <w:pPr>
        <w:rPr>
          <w:rFonts w:ascii="Arial" w:hAnsi="Arial"/>
        </w:rPr>
      </w:pPr>
      <w:r w:rsidRPr="00C552EA">
        <w:rPr>
          <w:rFonts w:ascii="Arial" w:hAnsi="Arial"/>
        </w:rPr>
        <w:t>La finalidad de la revisión de la norma internacional relativa a combinaciones publicada en 2008 fue mejorar la relevancia, fiabilidad y comparabilidad de la información ofrecida en</w:t>
      </w:r>
      <w:r>
        <w:rPr>
          <w:rFonts w:ascii="Arial" w:hAnsi="Arial"/>
        </w:rPr>
        <w:t xml:space="preserve"> las combinaciones de negocios.</w:t>
      </w:r>
    </w:p>
    <w:p w:rsidR="00C552EA" w:rsidRPr="00C552EA" w:rsidRDefault="00C552EA" w:rsidP="00C552EA">
      <w:pPr>
        <w:rPr>
          <w:rFonts w:ascii="Arial" w:hAnsi="Arial"/>
        </w:rPr>
      </w:pPr>
      <w:r w:rsidRPr="00C552EA">
        <w:rPr>
          <w:rFonts w:ascii="Arial" w:hAnsi="Arial"/>
        </w:rPr>
        <w:t>Además, supuso un esfuerzo conjunto con el FASB (</w:t>
      </w:r>
      <w:proofErr w:type="spellStart"/>
      <w:r w:rsidRPr="00C552EA">
        <w:rPr>
          <w:rFonts w:ascii="Arial" w:hAnsi="Arial"/>
        </w:rPr>
        <w:t>Financial</w:t>
      </w:r>
      <w:proofErr w:type="spellEnd"/>
      <w:r w:rsidRPr="00C552EA">
        <w:rPr>
          <w:rFonts w:ascii="Arial" w:hAnsi="Arial"/>
        </w:rPr>
        <w:t xml:space="preserve"> </w:t>
      </w:r>
      <w:proofErr w:type="spellStart"/>
      <w:r w:rsidRPr="00C552EA">
        <w:rPr>
          <w:rFonts w:ascii="Arial" w:hAnsi="Arial"/>
        </w:rPr>
        <w:t>Accounting</w:t>
      </w:r>
      <w:proofErr w:type="spellEnd"/>
      <w:r w:rsidRPr="00C552EA">
        <w:rPr>
          <w:rFonts w:ascii="Arial" w:hAnsi="Arial"/>
        </w:rPr>
        <w:t xml:space="preserve"> </w:t>
      </w:r>
      <w:proofErr w:type="spellStart"/>
      <w:r w:rsidRPr="00C552EA">
        <w:rPr>
          <w:rFonts w:ascii="Arial" w:hAnsi="Arial"/>
        </w:rPr>
        <w:t>Standards</w:t>
      </w:r>
      <w:proofErr w:type="spellEnd"/>
      <w:r w:rsidRPr="00C552EA">
        <w:rPr>
          <w:rFonts w:ascii="Arial" w:hAnsi="Arial"/>
        </w:rPr>
        <w:t xml:space="preserve"> </w:t>
      </w:r>
      <w:proofErr w:type="spellStart"/>
      <w:r w:rsidRPr="00C552EA">
        <w:rPr>
          <w:rFonts w:ascii="Arial" w:hAnsi="Arial"/>
        </w:rPr>
        <w:t>Board</w:t>
      </w:r>
      <w:proofErr w:type="spellEnd"/>
      <w:r w:rsidRPr="00C552EA">
        <w:rPr>
          <w:rFonts w:ascii="Arial" w:hAnsi="Arial"/>
        </w:rPr>
        <w:t>) para buscar la convergencia de las normas internacionales de contabilidad y los Principios de Contabilidad Generalmente Aceptados en EEUU (US GAAP).</w:t>
      </w:r>
    </w:p>
    <w:p w:rsidR="00C552EA" w:rsidRPr="00C552EA" w:rsidRDefault="00C552EA" w:rsidP="00C552EA">
      <w:pPr>
        <w:rPr>
          <w:rFonts w:ascii="Arial" w:hAnsi="Arial"/>
        </w:rPr>
      </w:pPr>
      <w:r w:rsidRPr="00C552EA">
        <w:rPr>
          <w:rFonts w:ascii="Arial" w:hAnsi="Arial"/>
        </w:rPr>
        <w:t>La nueva norma internacional relativa a las combinaciones de negocios introdujo cambios en la valoración y tratamiento de los intereses minoritarios.</w:t>
      </w:r>
    </w:p>
    <w:p w:rsidR="00C552EA" w:rsidRPr="00C552EA" w:rsidRDefault="00C552EA" w:rsidP="00C552EA">
      <w:pPr>
        <w:rPr>
          <w:rFonts w:ascii="Arial" w:hAnsi="Arial"/>
        </w:rPr>
      </w:pPr>
    </w:p>
    <w:p w:rsidR="00C552EA" w:rsidRDefault="00A67CBD" w:rsidP="00C552EA">
      <w:pPr>
        <w:rPr>
          <w:rFonts w:ascii="Arial" w:hAnsi="Arial"/>
        </w:rPr>
      </w:pPr>
      <w:r>
        <w:rPr>
          <w:rFonts w:ascii="Arial" w:hAnsi="Arial"/>
        </w:rPr>
        <w:t>Se analizan</w:t>
      </w:r>
      <w:r w:rsidR="00C552EA" w:rsidRPr="00C552EA">
        <w:rPr>
          <w:rFonts w:ascii="Arial" w:hAnsi="Arial"/>
        </w:rPr>
        <w:t xml:space="preserve"> los cambios en la norma realizados por IASB en esta revisión.</w:t>
      </w:r>
    </w:p>
    <w:p w:rsidR="00C552EA" w:rsidRPr="00F1179C" w:rsidRDefault="00353A26" w:rsidP="00C552EA">
      <w:pPr>
        <w:rPr>
          <w:rFonts w:ascii="Arial" w:hAnsi="Arial"/>
          <w:b/>
        </w:rPr>
      </w:pPr>
      <w:r w:rsidRPr="00F1179C">
        <w:rPr>
          <w:rFonts w:ascii="Arial" w:hAnsi="Arial"/>
          <w:b/>
        </w:rPr>
        <w:t>A</w:t>
      </w:r>
      <w:r w:rsidR="00C552EA" w:rsidRPr="00F1179C">
        <w:rPr>
          <w:rFonts w:ascii="Arial" w:hAnsi="Arial"/>
          <w:b/>
        </w:rPr>
        <w:t>lcance</w:t>
      </w:r>
    </w:p>
    <w:p w:rsidR="00353A26" w:rsidRPr="00C552EA" w:rsidRDefault="00353A26" w:rsidP="00C552EA">
      <w:pPr>
        <w:rPr>
          <w:rFonts w:ascii="Arial" w:hAnsi="Arial"/>
        </w:rPr>
      </w:pPr>
      <w:r>
        <w:rPr>
          <w:rFonts w:ascii="Arial" w:hAnsi="Arial"/>
        </w:rPr>
        <w:t>Se aplica a</w:t>
      </w:r>
      <w:r w:rsidR="00C552EA" w:rsidRPr="00C552EA">
        <w:rPr>
          <w:rFonts w:ascii="Arial" w:hAnsi="Arial"/>
        </w:rPr>
        <w:t xml:space="preserve"> las combinaciones de negocios</w:t>
      </w:r>
      <w:r>
        <w:rPr>
          <w:rFonts w:ascii="Arial" w:hAnsi="Arial"/>
        </w:rPr>
        <w:t>, incluidas las realizadas</w:t>
      </w:r>
      <w:r w:rsidR="00C552EA" w:rsidRPr="00C552EA">
        <w:rPr>
          <w:rFonts w:ascii="Arial" w:hAnsi="Arial"/>
        </w:rPr>
        <w:t xml:space="preserve"> entre entidades de carácter mutualista</w:t>
      </w:r>
      <w:r w:rsidR="00434BD5">
        <w:rPr>
          <w:rFonts w:ascii="Arial" w:hAnsi="Arial"/>
        </w:rPr>
        <w:t xml:space="preserve">. </w:t>
      </w:r>
      <w:r>
        <w:rPr>
          <w:rFonts w:ascii="Arial" w:hAnsi="Arial"/>
        </w:rPr>
        <w:t xml:space="preserve">No se aplica a entidades </w:t>
      </w:r>
      <w:r w:rsidR="00434BD5">
        <w:rPr>
          <w:rFonts w:ascii="Arial" w:hAnsi="Arial"/>
        </w:rPr>
        <w:t>que se combinan mediante contrato, pero mantienen sus valores negociados y las entidades que se combinan estando previamente bajo control común.</w:t>
      </w:r>
    </w:p>
    <w:p w:rsidR="00C552EA" w:rsidRPr="00F1179C" w:rsidRDefault="00C552EA" w:rsidP="00C552EA">
      <w:pPr>
        <w:rPr>
          <w:rFonts w:ascii="Arial" w:hAnsi="Arial"/>
          <w:b/>
        </w:rPr>
      </w:pPr>
      <w:r w:rsidRPr="00F1179C">
        <w:rPr>
          <w:rFonts w:ascii="Arial" w:hAnsi="Arial"/>
          <w:b/>
        </w:rPr>
        <w:t>Costes de transacción en la adquisición:</w:t>
      </w:r>
    </w:p>
    <w:p w:rsidR="00C552EA" w:rsidRPr="00C552EA" w:rsidRDefault="007F45C3" w:rsidP="00C552EA">
      <w:pPr>
        <w:rPr>
          <w:rFonts w:ascii="Arial" w:hAnsi="Arial"/>
        </w:rPr>
      </w:pPr>
      <w:r>
        <w:rPr>
          <w:rFonts w:ascii="Arial" w:hAnsi="Arial"/>
        </w:rPr>
        <w:t>Según las indicaciones d</w:t>
      </w:r>
      <w:r w:rsidR="00C552EA" w:rsidRPr="00C552EA">
        <w:rPr>
          <w:rFonts w:ascii="Arial" w:hAnsi="Arial"/>
        </w:rPr>
        <w:t>el párrafo 53, se consideran de manera individual, es decir, no se adiciona el valor razonable de los costes directos a la adquisición como un mayor valor razonable, el valor razonable de los servicios adquiridos es independiente y de acuerdo con la norma propuesta por el IASB se llevarán a resultado del ejercicio.</w:t>
      </w:r>
      <w:r w:rsidR="00434BD5">
        <w:rPr>
          <w:rFonts w:ascii="Arial" w:hAnsi="Arial"/>
        </w:rPr>
        <w:t xml:space="preserve"> Por ejemplo: </w:t>
      </w:r>
      <w:r w:rsidR="00C552EA" w:rsidRPr="00C552EA">
        <w:rPr>
          <w:rFonts w:ascii="Arial" w:hAnsi="Arial"/>
        </w:rPr>
        <w:t xml:space="preserve">honorarios de búsqueda; consultoría de asesoramiento o asesoramiento, contables, jurídicos, de valoración, globales de administración adicionando el departamento interno responsable de las adquisiciones, los costes de registro y emisión de valores de deuda o patrimonio, se reconocerán en el resultado del ejercicio en el que se produzcan. </w:t>
      </w:r>
    </w:p>
    <w:p w:rsidR="00C552EA" w:rsidRPr="00C552EA" w:rsidRDefault="00C552EA" w:rsidP="00C552EA">
      <w:pPr>
        <w:rPr>
          <w:rFonts w:ascii="Arial" w:hAnsi="Arial"/>
        </w:rPr>
      </w:pPr>
      <w:r w:rsidRPr="00C552EA">
        <w:rPr>
          <w:rFonts w:ascii="Arial" w:hAnsi="Arial"/>
        </w:rPr>
        <w:t>Con la excepción de los costes de emisión de deuda o instrumentos de patrimonio que se valorarán de acuerdo con las normas NIC 32 Y 39.</w:t>
      </w:r>
    </w:p>
    <w:p w:rsidR="00C552EA" w:rsidRPr="00F1179C" w:rsidRDefault="00C552EA" w:rsidP="00C552EA">
      <w:pPr>
        <w:rPr>
          <w:rFonts w:ascii="Arial" w:hAnsi="Arial"/>
          <w:b/>
        </w:rPr>
      </w:pPr>
      <w:r w:rsidRPr="00F1179C">
        <w:rPr>
          <w:rFonts w:ascii="Arial" w:hAnsi="Arial"/>
          <w:b/>
        </w:rPr>
        <w:t>Contraprestación contingente</w:t>
      </w:r>
    </w:p>
    <w:p w:rsidR="00C552EA" w:rsidRPr="00C552EA" w:rsidRDefault="00C552EA" w:rsidP="00C552EA">
      <w:pPr>
        <w:rPr>
          <w:rFonts w:ascii="Arial" w:hAnsi="Arial"/>
        </w:rPr>
      </w:pPr>
      <w:r w:rsidRPr="00C552EA">
        <w:rPr>
          <w:rFonts w:ascii="Arial" w:hAnsi="Arial"/>
        </w:rPr>
        <w:lastRenderedPageBreak/>
        <w:t>Se incluye entre las contraprestaciones que transmite la entidad adquirente a la adquirida y, según el Apéndice A de la NIIF3 (2008), se entiende como la obligación o derecho de realizar un intercambio de activos o instrumentos de patrimonio en caso de que se produzcan determinadas condiciones en el futuro.</w:t>
      </w:r>
    </w:p>
    <w:p w:rsidR="00C552EA" w:rsidRPr="00C552EA" w:rsidRDefault="00C552EA" w:rsidP="00C552EA">
      <w:pPr>
        <w:rPr>
          <w:rFonts w:ascii="Arial" w:hAnsi="Arial"/>
        </w:rPr>
      </w:pPr>
      <w:r w:rsidRPr="00C552EA">
        <w:rPr>
          <w:rFonts w:ascii="Arial" w:hAnsi="Arial"/>
        </w:rPr>
        <w:t>Las contraprestaciones contingentes se valorarán por su valor razonable en el momento de la adquisición [Párrafo 39 NIIF 3(2008)]. Su valoración como pasivo o instrumento de patrimonio dependiendo de si se trata de una obligación o un derecho se basarán en las especificaciones de la NIC 32.11</w:t>
      </w:r>
    </w:p>
    <w:p w:rsidR="007F45C3" w:rsidRDefault="00C552EA" w:rsidP="00C552EA">
      <w:pPr>
        <w:rPr>
          <w:rFonts w:ascii="Arial" w:hAnsi="Arial"/>
        </w:rPr>
      </w:pPr>
      <w:r w:rsidRPr="00C552EA">
        <w:rPr>
          <w:rFonts w:ascii="Arial" w:hAnsi="Arial"/>
        </w:rPr>
        <w:t>El tratamiento posterior que sufrirá la contraprestación contingente variará en función de la clasificación de la misma de acuerdo con el párrafo 58 de la NIIF 3(2008</w:t>
      </w:r>
      <w:proofErr w:type="gramStart"/>
      <w:r w:rsidRPr="00C552EA">
        <w:rPr>
          <w:rFonts w:ascii="Arial" w:hAnsi="Arial"/>
        </w:rPr>
        <w:t>).Si</w:t>
      </w:r>
      <w:proofErr w:type="gramEnd"/>
      <w:r w:rsidRPr="00C552EA">
        <w:rPr>
          <w:rFonts w:ascii="Arial" w:hAnsi="Arial"/>
        </w:rPr>
        <w:t xml:space="preserve"> la contraprestación contingente se clasificó previamente como una activo o</w:t>
      </w:r>
      <w:r w:rsidR="00434BD5">
        <w:rPr>
          <w:rFonts w:ascii="Arial" w:hAnsi="Arial"/>
        </w:rPr>
        <w:t xml:space="preserve"> pasivo financiero, se ajustará su valor razonable en función de los aumentos o disminuciones de valor con cargo a la cuenta de resultados. En el caso de instrumentos valorados en patrimonio neto se valorará a coste histórico.</w:t>
      </w:r>
    </w:p>
    <w:p w:rsidR="00C552EA" w:rsidRPr="00F1179C" w:rsidRDefault="00C552EA" w:rsidP="00C552EA">
      <w:pPr>
        <w:rPr>
          <w:rFonts w:ascii="Arial" w:hAnsi="Arial"/>
          <w:b/>
        </w:rPr>
      </w:pPr>
      <w:r w:rsidRPr="00F1179C">
        <w:rPr>
          <w:rFonts w:ascii="Arial" w:hAnsi="Arial"/>
          <w:b/>
        </w:rPr>
        <w:t>Adquisición por etapas:</w:t>
      </w:r>
    </w:p>
    <w:p w:rsidR="00C552EA" w:rsidRDefault="00C552EA" w:rsidP="00C552EA">
      <w:pPr>
        <w:rPr>
          <w:rFonts w:ascii="Arial" w:hAnsi="Arial"/>
        </w:rPr>
      </w:pPr>
      <w:r w:rsidRPr="00C552EA">
        <w:rPr>
          <w:rFonts w:ascii="Arial" w:hAnsi="Arial"/>
        </w:rPr>
        <w:t>El párrafo B64 de la NIIF3 (2008) señala que la empresa adquirente debe ajustar el valor razonable de participaciones previas en el momento anterior a la adquisición (toma de control) de la sociedad adquirida. Asimismo, el beneficio o pérdida que se reconozca por la aplicación de la norma expuesta quedará registrado en la cuenta de pérdidas y ganancias de “Otros ingresos o gastos”.</w:t>
      </w:r>
    </w:p>
    <w:p w:rsidR="00C552EA" w:rsidRPr="00F1179C" w:rsidRDefault="00C552EA" w:rsidP="00C552EA">
      <w:pPr>
        <w:rPr>
          <w:rFonts w:ascii="Arial" w:hAnsi="Arial"/>
          <w:b/>
        </w:rPr>
      </w:pPr>
      <w:r w:rsidRPr="00F1179C">
        <w:rPr>
          <w:rFonts w:ascii="Arial" w:hAnsi="Arial"/>
          <w:b/>
        </w:rPr>
        <w:t>Identificación de la entidad adquirente</w:t>
      </w:r>
      <w:r w:rsidR="00F1179C">
        <w:rPr>
          <w:rFonts w:ascii="Arial" w:hAnsi="Arial"/>
          <w:b/>
        </w:rPr>
        <w:t>:</w:t>
      </w:r>
    </w:p>
    <w:p w:rsidR="00C552EA" w:rsidRPr="00C552EA" w:rsidRDefault="00C552EA" w:rsidP="00C552EA">
      <w:pPr>
        <w:rPr>
          <w:rFonts w:ascii="Arial" w:hAnsi="Arial"/>
        </w:rPr>
      </w:pPr>
      <w:r w:rsidRPr="00C552EA">
        <w:rPr>
          <w:rFonts w:ascii="Arial" w:hAnsi="Arial"/>
        </w:rPr>
        <w:t>En la NIIF 3 (2008), con exactitud a la norma previa se identifica la adquirente con la entidad que dispone del control tras la combinación, sin embargo, se hace referencia directa a la NIC 27 (2008), norma internacional que desarrolla más ampliamente las situaciones de toma de control, adicionalmente establece párrafos aclaratorios desde B14 hasta B18 de la NIIF 3 (2008).</w:t>
      </w:r>
    </w:p>
    <w:p w:rsidR="00C552EA" w:rsidRPr="00C552EA" w:rsidRDefault="00C552EA" w:rsidP="00C552EA">
      <w:pPr>
        <w:rPr>
          <w:rFonts w:ascii="Arial" w:hAnsi="Arial"/>
        </w:rPr>
      </w:pPr>
      <w:r w:rsidRPr="00C552EA">
        <w:rPr>
          <w:rFonts w:ascii="Arial" w:hAnsi="Arial"/>
        </w:rPr>
        <w:t>Se mantienen los criterios aclaratorios en la identificación de la sociedad adquiriente comentados en la norma previa.</w:t>
      </w:r>
    </w:p>
    <w:p w:rsidR="00C552EA" w:rsidRPr="00F1179C" w:rsidRDefault="00C552EA" w:rsidP="00C552EA">
      <w:pPr>
        <w:rPr>
          <w:rFonts w:ascii="Arial" w:hAnsi="Arial"/>
          <w:b/>
        </w:rPr>
      </w:pPr>
      <w:r w:rsidRPr="00F1179C">
        <w:rPr>
          <w:rFonts w:ascii="Arial" w:hAnsi="Arial"/>
          <w:b/>
        </w:rPr>
        <w:t>Adquisición parcial</w:t>
      </w:r>
      <w:r w:rsidR="00F1179C">
        <w:rPr>
          <w:rFonts w:ascii="Arial" w:hAnsi="Arial"/>
          <w:b/>
        </w:rPr>
        <w:t>:</w:t>
      </w:r>
    </w:p>
    <w:p w:rsidR="00C552EA" w:rsidRPr="00C552EA" w:rsidRDefault="00C552EA" w:rsidP="00C552EA">
      <w:pPr>
        <w:rPr>
          <w:rFonts w:ascii="Arial" w:hAnsi="Arial"/>
        </w:rPr>
      </w:pPr>
      <w:r w:rsidRPr="00C552EA">
        <w:rPr>
          <w:rFonts w:ascii="Arial" w:hAnsi="Arial"/>
        </w:rPr>
        <w:t>Previamente a la revisión, la adquisición por etapas se entendía como una serie de adquisiciones individuales, en éstas el fondo de comercio se contabilizaba como la agregación de los distintos fondos de comercio de cada etapa, es decir, el capital desembolsado adicional por encima del valor razonable de los activos.</w:t>
      </w:r>
    </w:p>
    <w:p w:rsidR="00C552EA" w:rsidRPr="00C552EA" w:rsidRDefault="00C552EA" w:rsidP="00C552EA">
      <w:pPr>
        <w:rPr>
          <w:rFonts w:ascii="Arial" w:hAnsi="Arial"/>
        </w:rPr>
      </w:pPr>
      <w:r w:rsidRPr="00C552EA">
        <w:rPr>
          <w:rFonts w:ascii="Arial" w:hAnsi="Arial"/>
        </w:rPr>
        <w:t>Sin embargo, la NIIF 3 (2008).42 establece que los activos y pasivos asumidos en las combinaciones que se realicen por etapas se ajustarán al valor razonable en la fecha en la que la entidad obtiene el control.</w:t>
      </w:r>
    </w:p>
    <w:p w:rsidR="00C552EA" w:rsidRPr="00F1179C" w:rsidRDefault="00C552EA" w:rsidP="00C552EA">
      <w:pPr>
        <w:rPr>
          <w:rFonts w:ascii="Arial" w:hAnsi="Arial"/>
          <w:b/>
        </w:rPr>
      </w:pPr>
      <w:r w:rsidRPr="00F1179C">
        <w:rPr>
          <w:rFonts w:ascii="Arial" w:hAnsi="Arial"/>
          <w:b/>
        </w:rPr>
        <w:t>Intereses minoritarios</w:t>
      </w:r>
      <w:r w:rsidR="00F1179C">
        <w:rPr>
          <w:rFonts w:ascii="Arial" w:hAnsi="Arial"/>
          <w:b/>
        </w:rPr>
        <w:t>:</w:t>
      </w:r>
    </w:p>
    <w:p w:rsidR="00C552EA" w:rsidRPr="00C552EA" w:rsidRDefault="00C552EA" w:rsidP="00C552EA">
      <w:pPr>
        <w:rPr>
          <w:rFonts w:ascii="Arial" w:hAnsi="Arial"/>
        </w:rPr>
      </w:pPr>
      <w:r w:rsidRPr="00C552EA">
        <w:rPr>
          <w:rFonts w:ascii="Arial" w:hAnsi="Arial"/>
        </w:rPr>
        <w:t>El tratamiento de los intereses minoritarios (non-</w:t>
      </w:r>
      <w:proofErr w:type="spellStart"/>
      <w:r w:rsidRPr="00C552EA">
        <w:rPr>
          <w:rFonts w:ascii="Arial" w:hAnsi="Arial"/>
        </w:rPr>
        <w:t>controlling</w:t>
      </w:r>
      <w:proofErr w:type="spellEnd"/>
      <w:r w:rsidRPr="00C552EA">
        <w:rPr>
          <w:rFonts w:ascii="Arial" w:hAnsi="Arial"/>
        </w:rPr>
        <w:t xml:space="preserve"> </w:t>
      </w:r>
      <w:proofErr w:type="spellStart"/>
      <w:r w:rsidRPr="00C552EA">
        <w:rPr>
          <w:rFonts w:ascii="Arial" w:hAnsi="Arial"/>
        </w:rPr>
        <w:t>interesest</w:t>
      </w:r>
      <w:proofErr w:type="spellEnd"/>
      <w:r w:rsidRPr="00C552EA">
        <w:rPr>
          <w:rFonts w:ascii="Arial" w:hAnsi="Arial"/>
        </w:rPr>
        <w:t>) experimenta cambios acentuados respecto a la NIIF (2004).</w:t>
      </w:r>
    </w:p>
    <w:p w:rsidR="00C552EA" w:rsidRPr="00C552EA" w:rsidRDefault="00C552EA" w:rsidP="00C552EA">
      <w:pPr>
        <w:rPr>
          <w:rFonts w:ascii="Arial" w:hAnsi="Arial"/>
        </w:rPr>
      </w:pPr>
      <w:r w:rsidRPr="00C552EA">
        <w:rPr>
          <w:rFonts w:ascii="Arial" w:hAnsi="Arial"/>
        </w:rPr>
        <w:t>La revisión establece que los intereses se valorarán en el momento en el que se contabilice el fondo de comercio, ofrece dos métodos posibles:</w:t>
      </w:r>
    </w:p>
    <w:p w:rsidR="00C552EA" w:rsidRPr="00C552EA" w:rsidRDefault="00434BD5" w:rsidP="00C552EA">
      <w:pPr>
        <w:rPr>
          <w:rFonts w:ascii="Arial" w:hAnsi="Arial"/>
        </w:rPr>
      </w:pPr>
      <w:r>
        <w:rPr>
          <w:rFonts w:ascii="Arial" w:hAnsi="Arial"/>
        </w:rPr>
        <w:t>a)</w:t>
      </w:r>
      <w:r w:rsidR="00F1179C">
        <w:rPr>
          <w:rFonts w:ascii="Arial" w:hAnsi="Arial"/>
        </w:rPr>
        <w:t xml:space="preserve"> </w:t>
      </w:r>
      <w:r w:rsidR="00C552EA" w:rsidRPr="00C552EA">
        <w:rPr>
          <w:rFonts w:ascii="Arial" w:hAnsi="Arial"/>
        </w:rPr>
        <w:t>El registro del valor razonable de la participación de los intereses minoritarios en el capital de la entidad. NIIF 3(2008) B44</w:t>
      </w:r>
    </w:p>
    <w:p w:rsidR="00C552EA" w:rsidRPr="00C552EA" w:rsidRDefault="00F1179C" w:rsidP="00C552EA">
      <w:pPr>
        <w:rPr>
          <w:rFonts w:ascii="Arial" w:hAnsi="Arial"/>
        </w:rPr>
      </w:pPr>
      <w:r>
        <w:rPr>
          <w:rFonts w:ascii="Arial" w:hAnsi="Arial"/>
        </w:rPr>
        <w:t>b)</w:t>
      </w:r>
      <w:r w:rsidR="00AC7B2B">
        <w:rPr>
          <w:rFonts w:ascii="Arial" w:hAnsi="Arial"/>
        </w:rPr>
        <w:t xml:space="preserve"> </w:t>
      </w:r>
      <w:r>
        <w:rPr>
          <w:rFonts w:ascii="Arial" w:hAnsi="Arial"/>
        </w:rPr>
        <w:t>E</w:t>
      </w:r>
      <w:r w:rsidR="00C552EA" w:rsidRPr="00C552EA">
        <w:rPr>
          <w:rFonts w:ascii="Arial" w:hAnsi="Arial"/>
        </w:rPr>
        <w:t>n caso de no poder determinar el valor razonable de las participaciones en el capital, se permiten otros métodos de valoración como la determinación del valor mediante la proporción en el valor razonable de los activos netos.</w:t>
      </w:r>
    </w:p>
    <w:p w:rsidR="00C552EA" w:rsidRPr="00C552EA" w:rsidRDefault="00C552EA" w:rsidP="00C552EA">
      <w:pPr>
        <w:rPr>
          <w:rFonts w:ascii="Arial" w:hAnsi="Arial"/>
        </w:rPr>
      </w:pPr>
      <w:r w:rsidRPr="00C552EA">
        <w:rPr>
          <w:rFonts w:ascii="Arial" w:hAnsi="Arial"/>
        </w:rPr>
        <w:t>En las adquisiciones parciales la entidad dominante debe contabilizar y valorar los intereses minoritarios (entendidos como los socios de la empresa adquirida que no forman parte de la entidad adquirente).</w:t>
      </w:r>
    </w:p>
    <w:p w:rsidR="00C552EA" w:rsidRPr="00C552EA" w:rsidRDefault="00C552EA" w:rsidP="00C552EA">
      <w:pPr>
        <w:rPr>
          <w:rFonts w:ascii="Arial" w:hAnsi="Arial"/>
        </w:rPr>
      </w:pPr>
      <w:r w:rsidRPr="00C552EA">
        <w:rPr>
          <w:rFonts w:ascii="Arial" w:hAnsi="Arial"/>
        </w:rPr>
        <w:lastRenderedPageBreak/>
        <w:t>El párrafo 19 de la NIIF 3 (2008) propone dos métodos de valoración posibles: Realizar la valoración en función del valor razonable de la participación de los intereses minoritarios o aplicar la parte proporcional de la empresa correspondiente a los intereses minoritarios a los activos netos de la sociedad adquirida.</w:t>
      </w:r>
    </w:p>
    <w:p w:rsidR="00C552EA" w:rsidRPr="00F1179C" w:rsidRDefault="00C552EA" w:rsidP="00C552EA">
      <w:pPr>
        <w:rPr>
          <w:rFonts w:ascii="Arial" w:hAnsi="Arial"/>
          <w:b/>
        </w:rPr>
      </w:pPr>
      <w:r w:rsidRPr="00F1179C">
        <w:rPr>
          <w:rFonts w:ascii="Arial" w:hAnsi="Arial"/>
          <w:b/>
        </w:rPr>
        <w:t>Activos intangibles:</w:t>
      </w:r>
    </w:p>
    <w:p w:rsidR="00C552EA" w:rsidRPr="00C552EA" w:rsidRDefault="00C552EA" w:rsidP="00C552EA">
      <w:pPr>
        <w:rPr>
          <w:rFonts w:ascii="Arial" w:hAnsi="Arial"/>
        </w:rPr>
      </w:pPr>
      <w:r w:rsidRPr="00C552EA">
        <w:rPr>
          <w:rFonts w:ascii="Arial" w:hAnsi="Arial"/>
        </w:rPr>
        <w:t>Se mantiene la obligación por parte de la entidad de reconocer separadamente del fondo de comercio, los activos intangibles que sean susceptibles de identificación y hayan sido adquiridos en la combinación de negocios cuando cumplan los criterios de separabilidad establecidos en la NIIF 3(2008)- B31.</w:t>
      </w:r>
    </w:p>
    <w:p w:rsidR="00C552EA" w:rsidRPr="00C552EA" w:rsidRDefault="00C552EA" w:rsidP="00C552EA">
      <w:pPr>
        <w:rPr>
          <w:rFonts w:ascii="Arial" w:hAnsi="Arial"/>
        </w:rPr>
      </w:pPr>
      <w:r w:rsidRPr="00C552EA">
        <w:rPr>
          <w:rFonts w:ascii="Arial" w:hAnsi="Arial"/>
        </w:rPr>
        <w:t xml:space="preserve">De acuerdo con el párrafo B33 de la norma, el activo intangible será </w:t>
      </w:r>
      <w:r w:rsidR="00AC7B2B">
        <w:rPr>
          <w:rFonts w:ascii="Arial" w:hAnsi="Arial"/>
        </w:rPr>
        <w:t>segregable si puede separarse</w:t>
      </w:r>
      <w:r w:rsidRPr="00C552EA">
        <w:rPr>
          <w:rFonts w:ascii="Arial" w:hAnsi="Arial"/>
        </w:rPr>
        <w:t xml:space="preserve"> de la sociedad y ser objeto de venta, traspaso, arrendamiento, cesión bajo licencia o intercambio, tendrá la consideración de activo intangible independie</w:t>
      </w:r>
      <w:r w:rsidR="00AC7B2B">
        <w:rPr>
          <w:rFonts w:ascii="Arial" w:hAnsi="Arial"/>
        </w:rPr>
        <w:t>ntemente de que la separación</w:t>
      </w:r>
      <w:r w:rsidRPr="00C552EA">
        <w:rPr>
          <w:rFonts w:ascii="Arial" w:hAnsi="Arial"/>
        </w:rPr>
        <w:t xml:space="preserve"> de la entidad pueda darse de manera individual o ligada a la venta de otro activo identificable (B34- NIIF 3 (2008)).</w:t>
      </w:r>
    </w:p>
    <w:p w:rsidR="00C552EA" w:rsidRPr="00C552EA" w:rsidRDefault="00C552EA" w:rsidP="00C552EA">
      <w:pPr>
        <w:rPr>
          <w:rFonts w:ascii="Arial" w:hAnsi="Arial"/>
        </w:rPr>
      </w:pPr>
      <w:r w:rsidRPr="00C552EA">
        <w:rPr>
          <w:rFonts w:ascii="Arial" w:hAnsi="Arial"/>
        </w:rPr>
        <w:t>Si el activo intangible posee derechos legales o contractuales identificables sin considerar el hecho de que sean transferibles cumplirá igualmente los requisitos para su consideración como tal.</w:t>
      </w:r>
    </w:p>
    <w:p w:rsidR="00C11B6A" w:rsidRDefault="00CB108A" w:rsidP="001732BB">
      <w:pPr>
        <w:pStyle w:val="Ttulo1"/>
      </w:pPr>
      <w:r>
        <w:t>EVOLUCIÓN DE LA INFORMACIÓN PUBLICADA EN LAS CUENTAS ANUALES DE ENTIDADES COOPERATIVAS SOBRE COMBINACIONES DE NEGOCIOS (2009-2010-2015</w:t>
      </w:r>
    </w:p>
    <w:p w:rsidR="00CB108A" w:rsidRDefault="00CB108A" w:rsidP="00311ECE">
      <w:pPr>
        <w:rPr>
          <w:rFonts w:ascii="Arial" w:hAnsi="Arial" w:cs="Arial"/>
        </w:rPr>
      </w:pPr>
      <w:r>
        <w:rPr>
          <w:rFonts w:ascii="Arial" w:hAnsi="Arial" w:cs="Arial"/>
        </w:rPr>
        <w:t xml:space="preserve">Con la finalidad de extraer una muestra de entidades cooperativas representativas a escala mundial se ha utilizado la información publicada por el proyecto </w:t>
      </w:r>
      <w:r>
        <w:rPr>
          <w:rFonts w:ascii="Arial" w:hAnsi="Arial" w:cs="Arial"/>
          <w:i/>
        </w:rPr>
        <w:t xml:space="preserve">2016 </w:t>
      </w:r>
      <w:proofErr w:type="spellStart"/>
      <w:r>
        <w:rPr>
          <w:rFonts w:ascii="Arial" w:hAnsi="Arial" w:cs="Arial"/>
          <w:i/>
        </w:rPr>
        <w:t>World</w:t>
      </w:r>
      <w:proofErr w:type="spellEnd"/>
      <w:r>
        <w:rPr>
          <w:rFonts w:ascii="Arial" w:hAnsi="Arial" w:cs="Arial"/>
          <w:i/>
        </w:rPr>
        <w:t xml:space="preserve"> </w:t>
      </w:r>
      <w:proofErr w:type="spellStart"/>
      <w:r>
        <w:rPr>
          <w:rFonts w:ascii="Arial" w:hAnsi="Arial" w:cs="Arial"/>
          <w:i/>
        </w:rPr>
        <w:t>Cooperative</w:t>
      </w:r>
      <w:proofErr w:type="spellEnd"/>
      <w:r>
        <w:rPr>
          <w:rFonts w:ascii="Arial" w:hAnsi="Arial" w:cs="Arial"/>
          <w:i/>
        </w:rPr>
        <w:t xml:space="preserve"> Monitor</w:t>
      </w:r>
      <w:r>
        <w:rPr>
          <w:rFonts w:ascii="Arial" w:hAnsi="Arial" w:cs="Arial"/>
          <w:b/>
          <w:i/>
        </w:rPr>
        <w:t xml:space="preserve"> </w:t>
      </w:r>
      <w:r>
        <w:rPr>
          <w:rFonts w:ascii="Arial" w:hAnsi="Arial" w:cs="Arial"/>
        </w:rPr>
        <w:t xml:space="preserve">elaborado por </w:t>
      </w:r>
      <w:proofErr w:type="spellStart"/>
      <w:r>
        <w:rPr>
          <w:rFonts w:ascii="Arial" w:hAnsi="Arial" w:cs="Arial"/>
          <w:i/>
        </w:rPr>
        <w:t>The</w:t>
      </w:r>
      <w:proofErr w:type="spellEnd"/>
      <w:r>
        <w:rPr>
          <w:rFonts w:ascii="Arial" w:hAnsi="Arial" w:cs="Arial"/>
          <w:i/>
        </w:rPr>
        <w:t xml:space="preserve"> </w:t>
      </w:r>
      <w:proofErr w:type="spellStart"/>
      <w:r>
        <w:rPr>
          <w:rFonts w:ascii="Arial" w:hAnsi="Arial" w:cs="Arial"/>
          <w:i/>
        </w:rPr>
        <w:t>international</w:t>
      </w:r>
      <w:proofErr w:type="spellEnd"/>
      <w:r>
        <w:rPr>
          <w:rFonts w:ascii="Arial" w:hAnsi="Arial" w:cs="Arial"/>
          <w:i/>
        </w:rPr>
        <w:t xml:space="preserve"> Co-</w:t>
      </w:r>
      <w:proofErr w:type="spellStart"/>
      <w:r>
        <w:rPr>
          <w:rFonts w:ascii="Arial" w:hAnsi="Arial" w:cs="Arial"/>
          <w:i/>
        </w:rPr>
        <w:t>operative</w:t>
      </w:r>
      <w:proofErr w:type="spellEnd"/>
      <w:r>
        <w:rPr>
          <w:rFonts w:ascii="Arial" w:hAnsi="Arial" w:cs="Arial"/>
          <w:i/>
        </w:rPr>
        <w:t xml:space="preserve"> Alliance</w:t>
      </w:r>
      <w:r>
        <w:rPr>
          <w:rFonts w:ascii="Arial" w:hAnsi="Arial" w:cs="Arial"/>
        </w:rPr>
        <w:t>, el instituto de investigación europeo en cooperativas y empresas sociales (</w:t>
      </w:r>
      <w:proofErr w:type="spellStart"/>
      <w:r>
        <w:rPr>
          <w:rFonts w:ascii="Arial" w:hAnsi="Arial" w:cs="Arial"/>
        </w:rPr>
        <w:t>Euricse</w:t>
      </w:r>
      <w:proofErr w:type="spellEnd"/>
      <w:r>
        <w:rPr>
          <w:rFonts w:ascii="Arial" w:hAnsi="Arial" w:cs="Arial"/>
        </w:rPr>
        <w:t>). Se analizará la divulgación de los ítems más relevantes de las normativas relativas a combinaciones de negocios SFAS 141R Y NIIF 3 (2008) en una muestra de 30 entidades cooperativas i</w:t>
      </w:r>
      <w:r w:rsidR="00BB660F">
        <w:rPr>
          <w:rFonts w:ascii="Arial" w:hAnsi="Arial" w:cs="Arial"/>
        </w:rPr>
        <w:t>nternacionales en los estados financieros</w:t>
      </w:r>
      <w:r>
        <w:rPr>
          <w:rFonts w:ascii="Arial" w:hAnsi="Arial" w:cs="Arial"/>
        </w:rPr>
        <w:t xml:space="preserve"> 2009,</w:t>
      </w:r>
      <w:r w:rsidR="00BB660F">
        <w:rPr>
          <w:rFonts w:ascii="Arial" w:hAnsi="Arial" w:cs="Arial"/>
        </w:rPr>
        <w:t xml:space="preserve"> </w:t>
      </w:r>
      <w:r>
        <w:rPr>
          <w:rFonts w:ascii="Arial" w:hAnsi="Arial" w:cs="Arial"/>
        </w:rPr>
        <w:t>2010 y el último publicado</w:t>
      </w:r>
      <w:r w:rsidR="00BB660F">
        <w:rPr>
          <w:rFonts w:ascii="Arial" w:hAnsi="Arial" w:cs="Arial"/>
        </w:rPr>
        <w:t xml:space="preserve"> en el momento de llevar a cabo el presente estudio (2015)</w:t>
      </w:r>
      <w:r>
        <w:rPr>
          <w:rFonts w:ascii="Arial" w:hAnsi="Arial" w:cs="Arial"/>
        </w:rPr>
        <w:t xml:space="preserve"> con la finalidad de examinar el impacto de la normativa en la fecha de aplicación 2010, frente al ejercicio económico previo y su desarrollo en la actualidad. </w:t>
      </w:r>
    </w:p>
    <w:p w:rsidR="00CB108A" w:rsidRDefault="003259DA" w:rsidP="00CB108A">
      <w:pPr>
        <w:spacing w:line="360" w:lineRule="auto"/>
        <w:rPr>
          <w:rFonts w:ascii="Arial" w:hAnsi="Arial" w:cs="Arial"/>
        </w:rPr>
      </w:pPr>
      <w:r>
        <w:rPr>
          <w:noProof/>
          <w:lang w:eastAsia="es-ES"/>
        </w:rPr>
        <w:drawing>
          <wp:anchor distT="0" distB="0" distL="114300" distR="114300" simplePos="0" relativeHeight="251658240" behindDoc="0" locked="0" layoutInCell="1" allowOverlap="1" wp14:anchorId="6FC19F51">
            <wp:simplePos x="0" y="0"/>
            <wp:positionH relativeFrom="column">
              <wp:posOffset>12065</wp:posOffset>
            </wp:positionH>
            <wp:positionV relativeFrom="paragraph">
              <wp:posOffset>78740</wp:posOffset>
            </wp:positionV>
            <wp:extent cx="5022850" cy="2541270"/>
            <wp:effectExtent l="0" t="0" r="6350" b="11430"/>
            <wp:wrapSquare wrapText="bothSides"/>
            <wp:docPr id="13" name="Gráfico 13">
              <a:extLst xmlns:a="http://schemas.openxmlformats.org/drawingml/2006/main">
                <a:ext uri="{FF2B5EF4-FFF2-40B4-BE49-F238E27FC236}">
                  <a16:creationId xmlns:a16="http://schemas.microsoft.com/office/drawing/2014/main" id="{5CE0A0BE-6C94-4C46-BB6B-06BDE7BD9C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CB108A" w:rsidRDefault="00CB108A" w:rsidP="00C552EA">
      <w:pPr>
        <w:rPr>
          <w:rFonts w:ascii="Arial" w:hAnsi="Arial"/>
        </w:rPr>
      </w:pPr>
    </w:p>
    <w:p w:rsidR="003306C8" w:rsidRDefault="003306C8" w:rsidP="003306C8">
      <w:pPr>
        <w:pStyle w:val="Descripcin"/>
        <w:rPr>
          <w:rFonts w:ascii="Arial" w:hAnsi="Arial" w:cs="Arial"/>
          <w:b w:val="0"/>
          <w:sz w:val="22"/>
          <w:szCs w:val="22"/>
        </w:rPr>
      </w:pPr>
      <w:r>
        <w:t xml:space="preserve"> </w:t>
      </w:r>
    </w:p>
    <w:p w:rsidR="00C11B6A" w:rsidRDefault="00C11B6A" w:rsidP="00C552EA">
      <w:pPr>
        <w:rPr>
          <w:rFonts w:ascii="Arial" w:hAnsi="Arial"/>
        </w:rPr>
      </w:pPr>
    </w:p>
    <w:p w:rsidR="00C11B6A" w:rsidRDefault="00C11B6A" w:rsidP="00C552EA">
      <w:pPr>
        <w:rPr>
          <w:rFonts w:ascii="Arial" w:hAnsi="Arial"/>
        </w:rPr>
      </w:pPr>
    </w:p>
    <w:p w:rsidR="00C11B6A" w:rsidRDefault="00C11B6A" w:rsidP="00C552EA">
      <w:pPr>
        <w:rPr>
          <w:rFonts w:ascii="Arial" w:hAnsi="Arial"/>
        </w:rPr>
      </w:pPr>
    </w:p>
    <w:p w:rsidR="00C11B6A" w:rsidRDefault="00C11B6A" w:rsidP="00C552EA">
      <w:pPr>
        <w:rPr>
          <w:rFonts w:ascii="Arial" w:hAnsi="Arial"/>
        </w:rPr>
      </w:pPr>
    </w:p>
    <w:p w:rsidR="00C11B6A" w:rsidRDefault="00C11B6A" w:rsidP="00C552EA">
      <w:pPr>
        <w:rPr>
          <w:rFonts w:ascii="Arial" w:hAnsi="Arial"/>
        </w:rPr>
      </w:pPr>
    </w:p>
    <w:p w:rsidR="00C11B6A" w:rsidRDefault="00C11B6A" w:rsidP="00C552EA">
      <w:pPr>
        <w:rPr>
          <w:rFonts w:ascii="Arial" w:hAnsi="Arial"/>
        </w:rPr>
      </w:pPr>
    </w:p>
    <w:p w:rsidR="002870B5" w:rsidRDefault="002870B5" w:rsidP="00C552EA">
      <w:pPr>
        <w:rPr>
          <w:rFonts w:ascii="Arial" w:hAnsi="Arial"/>
        </w:rPr>
      </w:pPr>
    </w:p>
    <w:p w:rsidR="00C11B6A" w:rsidRDefault="00C11B6A" w:rsidP="00C552EA">
      <w:pPr>
        <w:rPr>
          <w:rFonts w:ascii="Arial" w:hAnsi="Arial"/>
        </w:rPr>
      </w:pPr>
    </w:p>
    <w:p w:rsidR="00E916DA" w:rsidRDefault="00E916DA" w:rsidP="00C552EA">
      <w:pPr>
        <w:rPr>
          <w:rFonts w:ascii="Arial" w:hAnsi="Arial"/>
        </w:rPr>
      </w:pPr>
    </w:p>
    <w:p w:rsidR="003306C8" w:rsidRDefault="001732BB" w:rsidP="00C552EA">
      <w:pPr>
        <w:rPr>
          <w:rFonts w:ascii="Arial" w:hAnsi="Arial"/>
        </w:rPr>
      </w:pPr>
      <w:r>
        <w:rPr>
          <w:noProof/>
          <w:lang w:eastAsia="es-ES"/>
        </w:rPr>
        <w:lastRenderedPageBreak/>
        <w:drawing>
          <wp:anchor distT="0" distB="0" distL="114300" distR="114300" simplePos="0" relativeHeight="251660288" behindDoc="0" locked="0" layoutInCell="1" allowOverlap="1" wp14:anchorId="7384526B" wp14:editId="365ADA0B">
            <wp:simplePos x="0" y="0"/>
            <wp:positionH relativeFrom="column">
              <wp:posOffset>12469</wp:posOffset>
            </wp:positionH>
            <wp:positionV relativeFrom="paragraph">
              <wp:posOffset>532765</wp:posOffset>
            </wp:positionV>
            <wp:extent cx="4857750" cy="2676525"/>
            <wp:effectExtent l="0" t="0" r="0" b="9525"/>
            <wp:wrapSquare wrapText="bothSides"/>
            <wp:docPr id="14" name="Gráfico 14">
              <a:extLst xmlns:a="http://schemas.openxmlformats.org/drawingml/2006/main">
                <a:ext uri="{FF2B5EF4-FFF2-40B4-BE49-F238E27FC236}">
                  <a16:creationId xmlns:a16="http://schemas.microsoft.com/office/drawing/2014/main" id="{CF2DC6F4-29A1-457B-BCC0-03AE3E0738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3306C8">
        <w:rPr>
          <w:rFonts w:ascii="Arial" w:hAnsi="Arial"/>
        </w:rPr>
        <w:t xml:space="preserve">En la muestra destaca la dominancia del sector actuarial con un 47% seguido por las sociedades agrícolas y de alimentación </w:t>
      </w:r>
      <w:r w:rsidR="00E916DA">
        <w:rPr>
          <w:rFonts w:ascii="Arial" w:hAnsi="Arial"/>
        </w:rPr>
        <w:t>con el 30% y los sectores bancario y comercial que constituyen un 10% respectivamente.</w:t>
      </w:r>
    </w:p>
    <w:p w:rsidR="00C11B6A" w:rsidRDefault="00C11B6A" w:rsidP="00C552EA">
      <w:pPr>
        <w:rPr>
          <w:rFonts w:ascii="Arial" w:hAnsi="Arial"/>
        </w:rPr>
      </w:pPr>
    </w:p>
    <w:p w:rsidR="00C11B6A" w:rsidRDefault="00C11B6A" w:rsidP="00C552EA">
      <w:pPr>
        <w:rPr>
          <w:rFonts w:ascii="Arial" w:hAnsi="Arial"/>
        </w:rPr>
      </w:pPr>
    </w:p>
    <w:p w:rsidR="00E916DA" w:rsidRDefault="00E916DA" w:rsidP="00C552EA">
      <w:pPr>
        <w:rPr>
          <w:rFonts w:ascii="Arial" w:hAnsi="Arial"/>
        </w:rPr>
      </w:pPr>
    </w:p>
    <w:p w:rsidR="00E916DA" w:rsidRPr="00E916DA" w:rsidRDefault="00E916DA" w:rsidP="00E916DA">
      <w:pPr>
        <w:rPr>
          <w:rFonts w:ascii="Arial" w:hAnsi="Arial"/>
        </w:rPr>
      </w:pPr>
    </w:p>
    <w:p w:rsidR="00E916DA" w:rsidRPr="00E916DA" w:rsidRDefault="00E916DA" w:rsidP="00E916DA">
      <w:pPr>
        <w:rPr>
          <w:rFonts w:ascii="Arial" w:hAnsi="Arial"/>
        </w:rPr>
      </w:pPr>
    </w:p>
    <w:p w:rsidR="00E916DA" w:rsidRPr="00E916DA" w:rsidRDefault="00E916DA" w:rsidP="00E916DA">
      <w:pPr>
        <w:rPr>
          <w:rFonts w:ascii="Arial" w:hAnsi="Arial"/>
        </w:rPr>
      </w:pPr>
    </w:p>
    <w:p w:rsidR="00E916DA" w:rsidRDefault="00E916DA" w:rsidP="00E916DA">
      <w:pPr>
        <w:rPr>
          <w:rFonts w:ascii="Arial" w:hAnsi="Arial"/>
        </w:rPr>
      </w:pPr>
    </w:p>
    <w:p w:rsidR="003259DA" w:rsidRDefault="003259DA" w:rsidP="00E916DA">
      <w:pPr>
        <w:rPr>
          <w:rFonts w:ascii="Arial" w:hAnsi="Arial"/>
        </w:rPr>
      </w:pPr>
    </w:p>
    <w:p w:rsidR="003259DA" w:rsidRDefault="003259DA" w:rsidP="00E916DA">
      <w:pPr>
        <w:rPr>
          <w:rFonts w:ascii="Arial" w:hAnsi="Arial"/>
        </w:rPr>
      </w:pPr>
    </w:p>
    <w:p w:rsidR="003259DA" w:rsidRPr="00E916DA" w:rsidRDefault="003259DA" w:rsidP="00E916DA">
      <w:pPr>
        <w:rPr>
          <w:rFonts w:ascii="Arial" w:hAnsi="Arial"/>
        </w:rPr>
      </w:pPr>
    </w:p>
    <w:p w:rsidR="00E916DA" w:rsidRDefault="00E916DA" w:rsidP="00E916DA">
      <w:pPr>
        <w:rPr>
          <w:rFonts w:ascii="Arial" w:hAnsi="Arial"/>
        </w:rPr>
      </w:pPr>
    </w:p>
    <w:p w:rsidR="00E916DA" w:rsidRDefault="00E916DA" w:rsidP="00E916DA">
      <w:pPr>
        <w:rPr>
          <w:rFonts w:ascii="Arial" w:hAnsi="Arial"/>
        </w:rPr>
      </w:pPr>
    </w:p>
    <w:p w:rsidR="002870B5" w:rsidRDefault="002870B5" w:rsidP="00E916DA">
      <w:pPr>
        <w:rPr>
          <w:rFonts w:ascii="Arial" w:hAnsi="Arial"/>
        </w:rPr>
      </w:pPr>
    </w:p>
    <w:p w:rsidR="00E916DA" w:rsidRDefault="00E916DA" w:rsidP="00E916DA">
      <w:pPr>
        <w:rPr>
          <w:rFonts w:ascii="Arial" w:hAnsi="Arial"/>
        </w:rPr>
      </w:pPr>
      <w:r>
        <w:rPr>
          <w:rFonts w:ascii="Arial" w:hAnsi="Arial"/>
        </w:rPr>
        <w:t>Los ítems analizados en 23 epígrafes son los siguientes:</w:t>
      </w:r>
    </w:p>
    <w:tbl>
      <w:tblPr>
        <w:tblStyle w:val="Tabladecuadrcula6concolores-nfasis5"/>
        <w:tblW w:w="5262" w:type="pct"/>
        <w:tblLook w:val="0420" w:firstRow="1" w:lastRow="0" w:firstColumn="0" w:lastColumn="0" w:noHBand="0" w:noVBand="1"/>
      </w:tblPr>
      <w:tblGrid>
        <w:gridCol w:w="1421"/>
        <w:gridCol w:w="1833"/>
        <w:gridCol w:w="1606"/>
        <w:gridCol w:w="2247"/>
        <w:gridCol w:w="1832"/>
      </w:tblGrid>
      <w:tr w:rsidR="00E916DA" w:rsidRPr="00E916DA" w:rsidTr="00E916DA">
        <w:trPr>
          <w:cnfStyle w:val="100000000000" w:firstRow="1" w:lastRow="0" w:firstColumn="0" w:lastColumn="0" w:oddVBand="0" w:evenVBand="0" w:oddHBand="0" w:evenHBand="0" w:firstRowFirstColumn="0" w:firstRowLastColumn="0" w:lastRowFirstColumn="0" w:lastRowLastColumn="0"/>
          <w:trHeight w:val="598"/>
        </w:trPr>
        <w:tc>
          <w:tcPr>
            <w:tcW w:w="794" w:type="pct"/>
            <w:vAlign w:val="center"/>
            <w:hideMark/>
          </w:tcPr>
          <w:p w:rsidR="00E916DA" w:rsidRPr="00E916DA" w:rsidRDefault="00E916DA" w:rsidP="00E916DA">
            <w:pPr>
              <w:spacing w:after="160"/>
              <w:jc w:val="center"/>
              <w:rPr>
                <w:rFonts w:ascii="Arial" w:hAnsi="Arial"/>
                <w:sz w:val="18"/>
              </w:rPr>
            </w:pPr>
            <w:r w:rsidRPr="00E916DA">
              <w:rPr>
                <w:rFonts w:ascii="Arial" w:hAnsi="Arial"/>
                <w:sz w:val="18"/>
              </w:rPr>
              <w:t>NORMATIVA UTILIZADA</w:t>
            </w:r>
          </w:p>
        </w:tc>
        <w:tc>
          <w:tcPr>
            <w:tcW w:w="1025" w:type="pct"/>
            <w:vAlign w:val="center"/>
            <w:hideMark/>
          </w:tcPr>
          <w:p w:rsidR="00E916DA" w:rsidRPr="00E916DA" w:rsidRDefault="00E916DA" w:rsidP="00E916DA">
            <w:pPr>
              <w:spacing w:after="160"/>
              <w:jc w:val="center"/>
              <w:rPr>
                <w:rFonts w:ascii="Arial" w:hAnsi="Arial"/>
                <w:sz w:val="18"/>
              </w:rPr>
            </w:pPr>
            <w:r w:rsidRPr="00E916DA">
              <w:rPr>
                <w:rFonts w:ascii="Arial" w:hAnsi="Arial"/>
                <w:sz w:val="18"/>
              </w:rPr>
              <w:t>COMBINACIONES DE NEGOCIOS</w:t>
            </w:r>
          </w:p>
        </w:tc>
        <w:tc>
          <w:tcPr>
            <w:tcW w:w="898" w:type="pct"/>
            <w:vAlign w:val="center"/>
            <w:hideMark/>
          </w:tcPr>
          <w:p w:rsidR="00E916DA" w:rsidRPr="00E916DA" w:rsidRDefault="00E916DA" w:rsidP="00E916DA">
            <w:pPr>
              <w:spacing w:after="160"/>
              <w:jc w:val="center"/>
              <w:rPr>
                <w:rFonts w:ascii="Arial" w:hAnsi="Arial"/>
                <w:sz w:val="18"/>
              </w:rPr>
            </w:pPr>
            <w:r w:rsidRPr="00E916DA">
              <w:rPr>
                <w:rFonts w:ascii="Arial" w:hAnsi="Arial"/>
                <w:sz w:val="18"/>
              </w:rPr>
              <w:t>FONDO DE COMERCIO</w:t>
            </w:r>
          </w:p>
        </w:tc>
        <w:tc>
          <w:tcPr>
            <w:tcW w:w="1257" w:type="pct"/>
            <w:vAlign w:val="center"/>
            <w:hideMark/>
          </w:tcPr>
          <w:p w:rsidR="00E916DA" w:rsidRPr="00E916DA" w:rsidRDefault="00E916DA" w:rsidP="00E916DA">
            <w:pPr>
              <w:spacing w:after="160"/>
              <w:jc w:val="center"/>
              <w:rPr>
                <w:rFonts w:ascii="Arial" w:hAnsi="Arial"/>
                <w:sz w:val="18"/>
              </w:rPr>
            </w:pPr>
            <w:r w:rsidRPr="00E916DA">
              <w:rPr>
                <w:rFonts w:ascii="Arial" w:hAnsi="Arial"/>
                <w:sz w:val="18"/>
              </w:rPr>
              <w:t>VALOR RAZONABLE CONTRAPRESTACIÓN</w:t>
            </w:r>
          </w:p>
        </w:tc>
        <w:tc>
          <w:tcPr>
            <w:tcW w:w="1025" w:type="pct"/>
            <w:vAlign w:val="center"/>
            <w:hideMark/>
          </w:tcPr>
          <w:p w:rsidR="00E916DA" w:rsidRPr="00E916DA" w:rsidRDefault="00E916DA" w:rsidP="00E916DA">
            <w:pPr>
              <w:spacing w:after="160"/>
              <w:jc w:val="center"/>
              <w:rPr>
                <w:rFonts w:ascii="Arial" w:hAnsi="Arial"/>
                <w:sz w:val="18"/>
              </w:rPr>
            </w:pPr>
            <w:r w:rsidRPr="00E916DA">
              <w:rPr>
                <w:rFonts w:ascii="Arial" w:hAnsi="Arial"/>
                <w:sz w:val="18"/>
              </w:rPr>
              <w:t>VALOR RAZONABLE ACTIVOS ADQUIRIDOS</w:t>
            </w:r>
          </w:p>
        </w:tc>
      </w:tr>
      <w:tr w:rsidR="00E916DA" w:rsidRPr="00E916DA" w:rsidTr="00E916DA">
        <w:trPr>
          <w:cnfStyle w:val="000000100000" w:firstRow="0" w:lastRow="0" w:firstColumn="0" w:lastColumn="0" w:oddVBand="0" w:evenVBand="0" w:oddHBand="1" w:evenHBand="0" w:firstRowFirstColumn="0" w:firstRowLastColumn="0" w:lastRowFirstColumn="0" w:lastRowLastColumn="0"/>
          <w:trHeight w:val="598"/>
        </w:trPr>
        <w:tc>
          <w:tcPr>
            <w:tcW w:w="794" w:type="pct"/>
            <w:vAlign w:val="center"/>
            <w:hideMark/>
          </w:tcPr>
          <w:p w:rsidR="00E916DA" w:rsidRPr="00E916DA" w:rsidRDefault="00E916DA" w:rsidP="00E916DA">
            <w:pPr>
              <w:spacing w:after="160"/>
              <w:jc w:val="center"/>
              <w:rPr>
                <w:rFonts w:ascii="Arial" w:hAnsi="Arial"/>
                <w:sz w:val="18"/>
              </w:rPr>
            </w:pPr>
            <w:r w:rsidRPr="00E916DA">
              <w:rPr>
                <w:rFonts w:ascii="Arial" w:hAnsi="Arial"/>
                <w:b/>
                <w:bCs/>
                <w:sz w:val="18"/>
              </w:rPr>
              <w:t>VALOR RAZONABLE PASIVOS ADQUIRIDOS</w:t>
            </w:r>
          </w:p>
        </w:tc>
        <w:tc>
          <w:tcPr>
            <w:tcW w:w="1025" w:type="pct"/>
            <w:vAlign w:val="center"/>
            <w:hideMark/>
          </w:tcPr>
          <w:p w:rsidR="00E916DA" w:rsidRPr="00E916DA" w:rsidRDefault="00E916DA" w:rsidP="00E916DA">
            <w:pPr>
              <w:spacing w:after="160"/>
              <w:jc w:val="center"/>
              <w:rPr>
                <w:rFonts w:ascii="Arial" w:hAnsi="Arial"/>
                <w:sz w:val="18"/>
              </w:rPr>
            </w:pPr>
            <w:r w:rsidRPr="00E916DA">
              <w:rPr>
                <w:rFonts w:ascii="Arial" w:hAnsi="Arial"/>
                <w:b/>
                <w:bCs/>
                <w:sz w:val="18"/>
              </w:rPr>
              <w:t>PASIVOS CONTINGENTES</w:t>
            </w:r>
          </w:p>
        </w:tc>
        <w:tc>
          <w:tcPr>
            <w:tcW w:w="898" w:type="pct"/>
            <w:vAlign w:val="center"/>
            <w:hideMark/>
          </w:tcPr>
          <w:p w:rsidR="00E916DA" w:rsidRPr="00E916DA" w:rsidRDefault="00E916DA" w:rsidP="00E916DA">
            <w:pPr>
              <w:spacing w:after="160"/>
              <w:jc w:val="center"/>
              <w:rPr>
                <w:rFonts w:ascii="Arial" w:hAnsi="Arial"/>
                <w:sz w:val="18"/>
              </w:rPr>
            </w:pPr>
            <w:r w:rsidRPr="00E916DA">
              <w:rPr>
                <w:rFonts w:ascii="Arial" w:hAnsi="Arial"/>
                <w:b/>
                <w:bCs/>
                <w:sz w:val="18"/>
              </w:rPr>
              <w:t>INTERESES MINORITARIOS</w:t>
            </w:r>
          </w:p>
        </w:tc>
        <w:tc>
          <w:tcPr>
            <w:tcW w:w="1257" w:type="pct"/>
            <w:vAlign w:val="center"/>
            <w:hideMark/>
          </w:tcPr>
          <w:p w:rsidR="00E916DA" w:rsidRPr="00E916DA" w:rsidRDefault="00E916DA" w:rsidP="00E916DA">
            <w:pPr>
              <w:spacing w:after="160"/>
              <w:jc w:val="center"/>
              <w:rPr>
                <w:rFonts w:ascii="Arial" w:hAnsi="Arial"/>
                <w:sz w:val="18"/>
              </w:rPr>
            </w:pPr>
            <w:r w:rsidRPr="00E916DA">
              <w:rPr>
                <w:rFonts w:ascii="Arial" w:hAnsi="Arial"/>
                <w:b/>
                <w:bCs/>
                <w:sz w:val="18"/>
              </w:rPr>
              <w:t>COMBINACIONES POR ETAPAS</w:t>
            </w:r>
          </w:p>
        </w:tc>
        <w:tc>
          <w:tcPr>
            <w:tcW w:w="1025" w:type="pct"/>
            <w:vAlign w:val="center"/>
            <w:hideMark/>
          </w:tcPr>
          <w:p w:rsidR="00E916DA" w:rsidRPr="00E916DA" w:rsidRDefault="00E916DA" w:rsidP="00E916DA">
            <w:pPr>
              <w:spacing w:after="160"/>
              <w:jc w:val="center"/>
              <w:rPr>
                <w:rFonts w:ascii="Arial" w:hAnsi="Arial"/>
                <w:sz w:val="18"/>
              </w:rPr>
            </w:pPr>
            <w:r w:rsidRPr="00E916DA">
              <w:rPr>
                <w:rFonts w:ascii="Arial" w:hAnsi="Arial"/>
                <w:b/>
                <w:bCs/>
                <w:sz w:val="18"/>
              </w:rPr>
              <w:t>DIFERENCIACIÓN INGRESOS ADQUIRIDAS</w:t>
            </w:r>
          </w:p>
        </w:tc>
      </w:tr>
    </w:tbl>
    <w:p w:rsidR="00E916DA" w:rsidRDefault="00E916DA" w:rsidP="00E916DA">
      <w:pPr>
        <w:rPr>
          <w:rFonts w:ascii="Arial" w:hAnsi="Arial"/>
        </w:rPr>
      </w:pPr>
    </w:p>
    <w:p w:rsidR="007A7EB8" w:rsidRDefault="007A7EB8" w:rsidP="00E916DA">
      <w:pPr>
        <w:rPr>
          <w:rFonts w:ascii="Arial" w:hAnsi="Arial"/>
        </w:rPr>
      </w:pPr>
      <w:r>
        <w:rPr>
          <w:rFonts w:ascii="Arial" w:hAnsi="Arial"/>
        </w:rPr>
        <w:t xml:space="preserve">A continuación, se sintetizan los resultados del análisis de las cuentas anuales. En primer lugar, </w:t>
      </w:r>
      <w:r w:rsidRPr="008F6958">
        <w:rPr>
          <w:rFonts w:ascii="Arial" w:hAnsi="Arial"/>
          <w:b/>
        </w:rPr>
        <w:t>se expondrán los ítems que mayor divulgación presentan</w:t>
      </w:r>
      <w:r>
        <w:rPr>
          <w:rFonts w:ascii="Arial" w:hAnsi="Arial"/>
        </w:rPr>
        <w:t>:</w:t>
      </w:r>
    </w:p>
    <w:tbl>
      <w:tblPr>
        <w:tblW w:w="7120" w:type="dxa"/>
        <w:jc w:val="center"/>
        <w:tblCellMar>
          <w:left w:w="70" w:type="dxa"/>
          <w:right w:w="70" w:type="dxa"/>
        </w:tblCellMar>
        <w:tblLook w:val="04A0" w:firstRow="1" w:lastRow="0" w:firstColumn="1" w:lastColumn="0" w:noHBand="0" w:noVBand="1"/>
      </w:tblPr>
      <w:tblGrid>
        <w:gridCol w:w="1960"/>
        <w:gridCol w:w="1560"/>
        <w:gridCol w:w="1200"/>
        <w:gridCol w:w="1200"/>
        <w:gridCol w:w="1200"/>
      </w:tblGrid>
      <w:tr w:rsidR="007A7EB8" w:rsidRPr="007A7EB8" w:rsidTr="007A7EB8">
        <w:trPr>
          <w:trHeight w:val="270"/>
          <w:jc w:val="center"/>
        </w:trPr>
        <w:tc>
          <w:tcPr>
            <w:tcW w:w="1960" w:type="dxa"/>
            <w:tcBorders>
              <w:top w:val="nil"/>
              <w:left w:val="nil"/>
              <w:bottom w:val="single" w:sz="8" w:space="0" w:color="auto"/>
              <w:right w:val="nil"/>
            </w:tcBorders>
            <w:shd w:val="clear" w:color="auto" w:fill="auto"/>
            <w:noWrap/>
            <w:vAlign w:val="center"/>
            <w:hideMark/>
          </w:tcPr>
          <w:p w:rsidR="007A7EB8" w:rsidRPr="007A7EB8" w:rsidRDefault="007A7EB8" w:rsidP="007A7EB8">
            <w:pPr>
              <w:spacing w:after="0"/>
              <w:jc w:val="left"/>
              <w:rPr>
                <w:rFonts w:ascii="Calibri" w:eastAsia="Times New Roman" w:hAnsi="Calibri" w:cs="Calibri"/>
                <w:color w:val="000000"/>
                <w:sz w:val="20"/>
                <w:szCs w:val="20"/>
                <w:lang w:eastAsia="es-ES"/>
              </w:rPr>
            </w:pPr>
            <w:r w:rsidRPr="007A7EB8">
              <w:rPr>
                <w:rFonts w:ascii="Calibri" w:eastAsia="Times New Roman" w:hAnsi="Calibri" w:cs="Calibri"/>
                <w:color w:val="000000"/>
                <w:sz w:val="20"/>
                <w:szCs w:val="20"/>
                <w:lang w:eastAsia="es-ES"/>
              </w:rPr>
              <w:t> </w:t>
            </w:r>
          </w:p>
        </w:tc>
        <w:tc>
          <w:tcPr>
            <w:tcW w:w="1560" w:type="dxa"/>
            <w:tcBorders>
              <w:top w:val="nil"/>
              <w:left w:val="nil"/>
              <w:bottom w:val="single" w:sz="8" w:space="0" w:color="auto"/>
              <w:right w:val="nil"/>
            </w:tcBorders>
            <w:shd w:val="clear" w:color="auto" w:fill="auto"/>
            <w:noWrap/>
            <w:vAlign w:val="center"/>
            <w:hideMark/>
          </w:tcPr>
          <w:p w:rsidR="007A7EB8" w:rsidRPr="007A7EB8" w:rsidRDefault="007A7EB8" w:rsidP="007A7EB8">
            <w:pPr>
              <w:spacing w:after="0"/>
              <w:jc w:val="left"/>
              <w:rPr>
                <w:rFonts w:ascii="Calibri" w:eastAsia="Times New Roman" w:hAnsi="Calibri" w:cs="Calibri"/>
                <w:color w:val="000000"/>
                <w:sz w:val="20"/>
                <w:szCs w:val="20"/>
                <w:lang w:eastAsia="es-ES"/>
              </w:rPr>
            </w:pPr>
            <w:r w:rsidRPr="007A7EB8">
              <w:rPr>
                <w:rFonts w:ascii="Calibri" w:eastAsia="Times New Roman" w:hAnsi="Calibri" w:cs="Calibri"/>
                <w:color w:val="000000"/>
                <w:sz w:val="20"/>
                <w:szCs w:val="20"/>
                <w:lang w:eastAsia="es-ES"/>
              </w:rPr>
              <w:t> </w:t>
            </w: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A7EB8" w:rsidRPr="007A7EB8" w:rsidRDefault="007A7EB8" w:rsidP="007A7EB8">
            <w:pPr>
              <w:spacing w:after="0"/>
              <w:jc w:val="center"/>
              <w:rPr>
                <w:rFonts w:ascii="Calibri" w:eastAsia="Times New Roman" w:hAnsi="Calibri" w:cs="Calibri"/>
                <w:b/>
                <w:bCs/>
                <w:color w:val="000000"/>
                <w:sz w:val="20"/>
                <w:szCs w:val="20"/>
                <w:lang w:eastAsia="es-ES"/>
              </w:rPr>
            </w:pPr>
            <w:r w:rsidRPr="007A7EB8">
              <w:rPr>
                <w:rFonts w:ascii="Calibri" w:eastAsia="Times New Roman" w:hAnsi="Calibri" w:cs="Calibri"/>
                <w:b/>
                <w:bCs/>
                <w:color w:val="000000"/>
                <w:sz w:val="20"/>
                <w:szCs w:val="20"/>
                <w:lang w:eastAsia="es-ES"/>
              </w:rPr>
              <w:t>2009</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7A7EB8" w:rsidRPr="007A7EB8" w:rsidRDefault="007A7EB8" w:rsidP="007A7EB8">
            <w:pPr>
              <w:spacing w:after="0"/>
              <w:jc w:val="center"/>
              <w:rPr>
                <w:rFonts w:ascii="Calibri" w:eastAsia="Times New Roman" w:hAnsi="Calibri" w:cs="Calibri"/>
                <w:b/>
                <w:bCs/>
                <w:color w:val="000000"/>
                <w:sz w:val="20"/>
                <w:szCs w:val="20"/>
                <w:lang w:eastAsia="es-ES"/>
              </w:rPr>
            </w:pPr>
            <w:r w:rsidRPr="007A7EB8">
              <w:rPr>
                <w:rFonts w:ascii="Calibri" w:eastAsia="Times New Roman" w:hAnsi="Calibri" w:cs="Calibri"/>
                <w:b/>
                <w:bCs/>
                <w:color w:val="000000"/>
                <w:sz w:val="20"/>
                <w:szCs w:val="20"/>
                <w:lang w:eastAsia="es-ES"/>
              </w:rPr>
              <w:t>2010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7A7EB8" w:rsidRPr="007A7EB8" w:rsidRDefault="007A7EB8" w:rsidP="007A7EB8">
            <w:pPr>
              <w:spacing w:after="0"/>
              <w:jc w:val="center"/>
              <w:rPr>
                <w:rFonts w:ascii="Calibri" w:eastAsia="Times New Roman" w:hAnsi="Calibri" w:cs="Calibri"/>
                <w:b/>
                <w:bCs/>
                <w:color w:val="000000"/>
                <w:sz w:val="20"/>
                <w:szCs w:val="20"/>
                <w:lang w:eastAsia="es-ES"/>
              </w:rPr>
            </w:pPr>
            <w:r w:rsidRPr="007A7EB8">
              <w:rPr>
                <w:rFonts w:ascii="Calibri" w:eastAsia="Times New Roman" w:hAnsi="Calibri" w:cs="Calibri"/>
                <w:b/>
                <w:bCs/>
                <w:color w:val="000000"/>
                <w:sz w:val="20"/>
                <w:szCs w:val="20"/>
                <w:lang w:eastAsia="es-ES"/>
              </w:rPr>
              <w:t>2015-2016</w:t>
            </w:r>
          </w:p>
        </w:tc>
      </w:tr>
      <w:tr w:rsidR="007A7EB8" w:rsidRPr="007A7EB8" w:rsidTr="007A7EB8">
        <w:trPr>
          <w:trHeight w:val="525"/>
          <w:jc w:val="center"/>
        </w:trPr>
        <w:tc>
          <w:tcPr>
            <w:tcW w:w="1960" w:type="dxa"/>
            <w:vMerge w:val="restart"/>
            <w:tcBorders>
              <w:top w:val="single" w:sz="8" w:space="0" w:color="auto"/>
              <w:left w:val="single" w:sz="8" w:space="0" w:color="auto"/>
              <w:bottom w:val="single" w:sz="4" w:space="0" w:color="auto"/>
              <w:right w:val="single" w:sz="8" w:space="0" w:color="auto"/>
            </w:tcBorders>
            <w:shd w:val="clear" w:color="auto" w:fill="auto"/>
            <w:vAlign w:val="center"/>
            <w:hideMark/>
          </w:tcPr>
          <w:p w:rsidR="007A7EB8" w:rsidRPr="007A7EB8" w:rsidRDefault="007A7EB8" w:rsidP="007A7EB8">
            <w:pPr>
              <w:spacing w:after="0"/>
              <w:jc w:val="center"/>
              <w:rPr>
                <w:rFonts w:ascii="Calibri" w:eastAsia="Times New Roman" w:hAnsi="Calibri" w:cs="Calibri"/>
                <w:b/>
                <w:bCs/>
                <w:color w:val="000000"/>
                <w:sz w:val="20"/>
                <w:szCs w:val="20"/>
                <w:lang w:eastAsia="es-ES"/>
              </w:rPr>
            </w:pPr>
            <w:r w:rsidRPr="007A7EB8">
              <w:rPr>
                <w:rFonts w:ascii="Calibri" w:eastAsia="Times New Roman" w:hAnsi="Calibri" w:cs="Calibri"/>
                <w:b/>
                <w:bCs/>
                <w:color w:val="000000"/>
                <w:sz w:val="20"/>
                <w:szCs w:val="20"/>
                <w:lang w:eastAsia="es-ES"/>
              </w:rPr>
              <w:t>INFORMACIÓN GENERAL OFRECIDA EN LAS CUENTAS ANUALES</w:t>
            </w:r>
          </w:p>
        </w:tc>
        <w:tc>
          <w:tcPr>
            <w:tcW w:w="1560" w:type="dxa"/>
            <w:tcBorders>
              <w:top w:val="nil"/>
              <w:left w:val="nil"/>
              <w:bottom w:val="single" w:sz="8" w:space="0" w:color="auto"/>
              <w:right w:val="single" w:sz="8" w:space="0" w:color="auto"/>
            </w:tcBorders>
            <w:shd w:val="clear" w:color="auto" w:fill="auto"/>
            <w:vAlign w:val="center"/>
            <w:hideMark/>
          </w:tcPr>
          <w:p w:rsidR="007A7EB8" w:rsidRPr="007A7EB8" w:rsidRDefault="007A7EB8" w:rsidP="007A7EB8">
            <w:pPr>
              <w:spacing w:after="0"/>
              <w:jc w:val="center"/>
              <w:rPr>
                <w:rFonts w:ascii="Calibri" w:eastAsia="Times New Roman" w:hAnsi="Calibri" w:cs="Calibri"/>
                <w:b/>
                <w:bCs/>
                <w:i/>
                <w:iCs/>
                <w:color w:val="000000"/>
                <w:sz w:val="20"/>
                <w:szCs w:val="20"/>
                <w:lang w:eastAsia="es-ES"/>
              </w:rPr>
            </w:pPr>
            <w:r w:rsidRPr="007A7EB8">
              <w:rPr>
                <w:rFonts w:ascii="Calibri" w:eastAsia="Times New Roman" w:hAnsi="Calibri" w:cs="Calibri"/>
                <w:b/>
                <w:bCs/>
                <w:i/>
                <w:iCs/>
                <w:color w:val="000000"/>
                <w:sz w:val="20"/>
                <w:szCs w:val="20"/>
                <w:lang w:eastAsia="es-ES"/>
              </w:rPr>
              <w:t>NORMATIVA UTILIZADA</w:t>
            </w:r>
          </w:p>
        </w:tc>
        <w:tc>
          <w:tcPr>
            <w:tcW w:w="1200" w:type="dxa"/>
            <w:tcBorders>
              <w:top w:val="nil"/>
              <w:left w:val="nil"/>
              <w:bottom w:val="single" w:sz="8" w:space="0" w:color="auto"/>
              <w:right w:val="single" w:sz="8" w:space="0" w:color="auto"/>
            </w:tcBorders>
            <w:shd w:val="clear" w:color="000000" w:fill="98CE7F"/>
            <w:noWrap/>
            <w:vAlign w:val="center"/>
            <w:hideMark/>
          </w:tcPr>
          <w:p w:rsidR="007A7EB8" w:rsidRPr="007A7EB8" w:rsidRDefault="007A7EB8" w:rsidP="007A7EB8">
            <w:pPr>
              <w:spacing w:after="0"/>
              <w:jc w:val="center"/>
              <w:rPr>
                <w:rFonts w:ascii="Calibri" w:eastAsia="Times New Roman" w:hAnsi="Calibri" w:cs="Calibri"/>
                <w:color w:val="000000"/>
                <w:sz w:val="20"/>
                <w:szCs w:val="20"/>
                <w:lang w:eastAsia="es-ES"/>
              </w:rPr>
            </w:pPr>
            <w:r w:rsidRPr="007A7EB8">
              <w:rPr>
                <w:rFonts w:ascii="Calibri" w:eastAsia="Times New Roman" w:hAnsi="Calibri" w:cs="Calibri"/>
                <w:color w:val="000000"/>
                <w:sz w:val="20"/>
                <w:szCs w:val="20"/>
                <w:lang w:eastAsia="es-ES"/>
              </w:rPr>
              <w:t>70,00%</w:t>
            </w:r>
          </w:p>
        </w:tc>
        <w:tc>
          <w:tcPr>
            <w:tcW w:w="1200" w:type="dxa"/>
            <w:tcBorders>
              <w:top w:val="nil"/>
              <w:left w:val="nil"/>
              <w:bottom w:val="single" w:sz="8" w:space="0" w:color="auto"/>
              <w:right w:val="single" w:sz="8" w:space="0" w:color="auto"/>
            </w:tcBorders>
            <w:shd w:val="clear" w:color="000000" w:fill="75C37C"/>
            <w:noWrap/>
            <w:vAlign w:val="center"/>
            <w:hideMark/>
          </w:tcPr>
          <w:p w:rsidR="007A7EB8" w:rsidRPr="007A7EB8" w:rsidRDefault="007A7EB8" w:rsidP="007A7EB8">
            <w:pPr>
              <w:spacing w:after="0"/>
              <w:jc w:val="center"/>
              <w:rPr>
                <w:rFonts w:ascii="Calibri" w:eastAsia="Times New Roman" w:hAnsi="Calibri" w:cs="Calibri"/>
                <w:color w:val="000000"/>
                <w:sz w:val="20"/>
                <w:szCs w:val="20"/>
                <w:lang w:eastAsia="es-ES"/>
              </w:rPr>
            </w:pPr>
            <w:r w:rsidRPr="007A7EB8">
              <w:rPr>
                <w:rFonts w:ascii="Calibri" w:eastAsia="Times New Roman" w:hAnsi="Calibri" w:cs="Calibri"/>
                <w:color w:val="000000"/>
                <w:sz w:val="20"/>
                <w:szCs w:val="20"/>
                <w:lang w:eastAsia="es-ES"/>
              </w:rPr>
              <w:t>76,67%</w:t>
            </w:r>
          </w:p>
        </w:tc>
        <w:tc>
          <w:tcPr>
            <w:tcW w:w="1200" w:type="dxa"/>
            <w:tcBorders>
              <w:top w:val="nil"/>
              <w:left w:val="nil"/>
              <w:bottom w:val="single" w:sz="8" w:space="0" w:color="auto"/>
              <w:right w:val="single" w:sz="8" w:space="0" w:color="auto"/>
            </w:tcBorders>
            <w:shd w:val="clear" w:color="000000" w:fill="73C37C"/>
            <w:noWrap/>
            <w:vAlign w:val="center"/>
            <w:hideMark/>
          </w:tcPr>
          <w:p w:rsidR="007A7EB8" w:rsidRPr="007A7EB8" w:rsidRDefault="007A7EB8" w:rsidP="007A7EB8">
            <w:pPr>
              <w:spacing w:after="0"/>
              <w:jc w:val="center"/>
              <w:rPr>
                <w:rFonts w:ascii="Calibri" w:eastAsia="Times New Roman" w:hAnsi="Calibri" w:cs="Calibri"/>
                <w:color w:val="000000"/>
                <w:sz w:val="20"/>
                <w:szCs w:val="20"/>
                <w:lang w:eastAsia="es-ES"/>
              </w:rPr>
            </w:pPr>
            <w:r w:rsidRPr="007A7EB8">
              <w:rPr>
                <w:rFonts w:ascii="Calibri" w:eastAsia="Times New Roman" w:hAnsi="Calibri" w:cs="Calibri"/>
                <w:color w:val="000000"/>
                <w:sz w:val="20"/>
                <w:szCs w:val="20"/>
                <w:lang w:eastAsia="es-ES"/>
              </w:rPr>
              <w:t>77%</w:t>
            </w:r>
          </w:p>
        </w:tc>
      </w:tr>
      <w:tr w:rsidR="007A7EB8" w:rsidRPr="007A7EB8" w:rsidTr="007A7EB8">
        <w:trPr>
          <w:trHeight w:val="525"/>
          <w:jc w:val="center"/>
        </w:trPr>
        <w:tc>
          <w:tcPr>
            <w:tcW w:w="1960" w:type="dxa"/>
            <w:vMerge/>
            <w:tcBorders>
              <w:top w:val="single" w:sz="8" w:space="0" w:color="000000"/>
              <w:left w:val="single" w:sz="8" w:space="0" w:color="auto"/>
              <w:bottom w:val="single" w:sz="4" w:space="0" w:color="auto"/>
              <w:right w:val="single" w:sz="8" w:space="0" w:color="auto"/>
            </w:tcBorders>
            <w:vAlign w:val="center"/>
            <w:hideMark/>
          </w:tcPr>
          <w:p w:rsidR="007A7EB8" w:rsidRPr="007A7EB8" w:rsidRDefault="007A7EB8" w:rsidP="007A7EB8">
            <w:pPr>
              <w:spacing w:after="0"/>
              <w:jc w:val="left"/>
              <w:rPr>
                <w:rFonts w:ascii="Calibri" w:eastAsia="Times New Roman" w:hAnsi="Calibri" w:cs="Calibri"/>
                <w:b/>
                <w:bCs/>
                <w:color w:val="000000"/>
                <w:sz w:val="20"/>
                <w:szCs w:val="20"/>
                <w:lang w:eastAsia="es-ES"/>
              </w:rPr>
            </w:pPr>
          </w:p>
        </w:tc>
        <w:tc>
          <w:tcPr>
            <w:tcW w:w="1560" w:type="dxa"/>
            <w:tcBorders>
              <w:top w:val="nil"/>
              <w:left w:val="nil"/>
              <w:bottom w:val="single" w:sz="8" w:space="0" w:color="auto"/>
              <w:right w:val="single" w:sz="8" w:space="0" w:color="auto"/>
            </w:tcBorders>
            <w:shd w:val="clear" w:color="auto" w:fill="auto"/>
            <w:vAlign w:val="center"/>
            <w:hideMark/>
          </w:tcPr>
          <w:p w:rsidR="007A7EB8" w:rsidRPr="007A7EB8" w:rsidRDefault="007A7EB8" w:rsidP="007A7EB8">
            <w:pPr>
              <w:spacing w:after="0"/>
              <w:jc w:val="center"/>
              <w:rPr>
                <w:rFonts w:ascii="Calibri" w:eastAsia="Times New Roman" w:hAnsi="Calibri" w:cs="Calibri"/>
                <w:b/>
                <w:bCs/>
                <w:i/>
                <w:iCs/>
                <w:color w:val="000000"/>
                <w:sz w:val="20"/>
                <w:szCs w:val="20"/>
                <w:lang w:eastAsia="es-ES"/>
              </w:rPr>
            </w:pPr>
            <w:r w:rsidRPr="007A7EB8">
              <w:rPr>
                <w:rFonts w:ascii="Calibri" w:eastAsia="Times New Roman" w:hAnsi="Calibri" w:cs="Calibri"/>
                <w:b/>
                <w:bCs/>
                <w:i/>
                <w:iCs/>
                <w:color w:val="000000"/>
                <w:sz w:val="20"/>
                <w:szCs w:val="20"/>
                <w:lang w:eastAsia="es-ES"/>
              </w:rPr>
              <w:t>IMPACTO NORMATIVO</w:t>
            </w:r>
          </w:p>
        </w:tc>
        <w:tc>
          <w:tcPr>
            <w:tcW w:w="1200" w:type="dxa"/>
            <w:tcBorders>
              <w:top w:val="nil"/>
              <w:left w:val="nil"/>
              <w:bottom w:val="single" w:sz="8" w:space="0" w:color="auto"/>
              <w:right w:val="single" w:sz="8" w:space="0" w:color="auto"/>
            </w:tcBorders>
            <w:shd w:val="clear" w:color="000000" w:fill="A9D27F"/>
            <w:noWrap/>
            <w:vAlign w:val="center"/>
            <w:hideMark/>
          </w:tcPr>
          <w:p w:rsidR="007A7EB8" w:rsidRPr="007A7EB8" w:rsidRDefault="007A7EB8" w:rsidP="007A7EB8">
            <w:pPr>
              <w:spacing w:after="0"/>
              <w:jc w:val="center"/>
              <w:rPr>
                <w:rFonts w:ascii="Calibri" w:eastAsia="Times New Roman" w:hAnsi="Calibri" w:cs="Calibri"/>
                <w:color w:val="000000"/>
                <w:sz w:val="20"/>
                <w:szCs w:val="20"/>
                <w:lang w:eastAsia="es-ES"/>
              </w:rPr>
            </w:pPr>
            <w:r w:rsidRPr="007A7EB8">
              <w:rPr>
                <w:rFonts w:ascii="Calibri" w:eastAsia="Times New Roman" w:hAnsi="Calibri" w:cs="Calibri"/>
                <w:color w:val="000000"/>
                <w:sz w:val="20"/>
                <w:szCs w:val="20"/>
                <w:lang w:eastAsia="es-ES"/>
              </w:rPr>
              <w:t>66,70%</w:t>
            </w:r>
          </w:p>
        </w:tc>
        <w:tc>
          <w:tcPr>
            <w:tcW w:w="1200" w:type="dxa"/>
            <w:tcBorders>
              <w:top w:val="nil"/>
              <w:left w:val="nil"/>
              <w:bottom w:val="single" w:sz="8" w:space="0" w:color="auto"/>
              <w:right w:val="single" w:sz="8" w:space="0" w:color="auto"/>
            </w:tcBorders>
            <w:shd w:val="clear" w:color="000000" w:fill="98CE7F"/>
            <w:noWrap/>
            <w:vAlign w:val="center"/>
            <w:hideMark/>
          </w:tcPr>
          <w:p w:rsidR="007A7EB8" w:rsidRPr="007A7EB8" w:rsidRDefault="007A7EB8" w:rsidP="007A7EB8">
            <w:pPr>
              <w:spacing w:after="0"/>
              <w:jc w:val="center"/>
              <w:rPr>
                <w:rFonts w:ascii="Calibri" w:eastAsia="Times New Roman" w:hAnsi="Calibri" w:cs="Calibri"/>
                <w:color w:val="000000"/>
                <w:sz w:val="20"/>
                <w:szCs w:val="20"/>
                <w:lang w:eastAsia="es-ES"/>
              </w:rPr>
            </w:pPr>
            <w:r w:rsidRPr="007A7EB8">
              <w:rPr>
                <w:rFonts w:ascii="Calibri" w:eastAsia="Times New Roman" w:hAnsi="Calibri" w:cs="Calibri"/>
                <w:color w:val="000000"/>
                <w:sz w:val="20"/>
                <w:szCs w:val="20"/>
                <w:lang w:eastAsia="es-ES"/>
              </w:rPr>
              <w:t>70,00%</w:t>
            </w:r>
          </w:p>
        </w:tc>
        <w:tc>
          <w:tcPr>
            <w:tcW w:w="1200" w:type="dxa"/>
            <w:tcBorders>
              <w:top w:val="nil"/>
              <w:left w:val="nil"/>
              <w:bottom w:val="single" w:sz="8" w:space="0" w:color="auto"/>
              <w:right w:val="single" w:sz="8" w:space="0" w:color="auto"/>
            </w:tcBorders>
            <w:shd w:val="clear" w:color="000000" w:fill="A7D27F"/>
            <w:noWrap/>
            <w:vAlign w:val="center"/>
            <w:hideMark/>
          </w:tcPr>
          <w:p w:rsidR="007A7EB8" w:rsidRPr="007A7EB8" w:rsidRDefault="007A7EB8" w:rsidP="007A7EB8">
            <w:pPr>
              <w:spacing w:after="0"/>
              <w:jc w:val="center"/>
              <w:rPr>
                <w:rFonts w:ascii="Calibri" w:eastAsia="Times New Roman" w:hAnsi="Calibri" w:cs="Calibri"/>
                <w:color w:val="000000"/>
                <w:sz w:val="20"/>
                <w:szCs w:val="20"/>
                <w:lang w:eastAsia="es-ES"/>
              </w:rPr>
            </w:pPr>
            <w:r w:rsidRPr="007A7EB8">
              <w:rPr>
                <w:rFonts w:ascii="Calibri" w:eastAsia="Times New Roman" w:hAnsi="Calibri" w:cs="Calibri"/>
                <w:color w:val="000000"/>
                <w:sz w:val="20"/>
                <w:szCs w:val="20"/>
                <w:lang w:eastAsia="es-ES"/>
              </w:rPr>
              <w:t>67%</w:t>
            </w:r>
          </w:p>
        </w:tc>
      </w:tr>
    </w:tbl>
    <w:p w:rsidR="008F6958" w:rsidRDefault="008F6958" w:rsidP="008E6F1A">
      <w:pPr>
        <w:rPr>
          <w:rFonts w:ascii="Arial" w:hAnsi="Arial"/>
        </w:rPr>
      </w:pPr>
    </w:p>
    <w:p w:rsidR="008F6958" w:rsidRDefault="008F6958" w:rsidP="008E6F1A">
      <w:pPr>
        <w:rPr>
          <w:rFonts w:ascii="Arial" w:hAnsi="Arial" w:cs="Arial"/>
        </w:rPr>
      </w:pPr>
      <w:r>
        <w:rPr>
          <w:rFonts w:ascii="Arial" w:hAnsi="Arial" w:cs="Arial"/>
        </w:rPr>
        <w:t>En las cuentas anuales del año 2009, el 70% de las entidades comunicaban la normativa que iban a utilizar pese a que algunos de ellas no las hubieran adoptado ya anticipaban los cambios que sufriría con los nuevos estándares SFAS 141R E IFRS 3 (2008), la divulgación de esta característica se incrementó hasta constituir en 2016 el 77%.</w:t>
      </w:r>
    </w:p>
    <w:p w:rsidR="008F6958" w:rsidRDefault="008F6958" w:rsidP="008E6F1A">
      <w:pPr>
        <w:rPr>
          <w:rFonts w:ascii="Arial" w:hAnsi="Arial" w:cs="Arial"/>
        </w:rPr>
      </w:pPr>
      <w:r>
        <w:rPr>
          <w:rFonts w:ascii="Arial" w:hAnsi="Arial" w:cs="Arial"/>
        </w:rPr>
        <w:t xml:space="preserve">Además de acuerdo con </w:t>
      </w:r>
      <w:r w:rsidR="008E6F1A">
        <w:rPr>
          <w:rFonts w:ascii="Arial" w:hAnsi="Arial" w:cs="Arial"/>
        </w:rPr>
        <w:t>el impacto normativo</w:t>
      </w:r>
      <w:r>
        <w:rPr>
          <w:rFonts w:ascii="Arial" w:hAnsi="Arial" w:cs="Arial"/>
        </w:rPr>
        <w:t xml:space="preserve"> el 66,7% de las entidades explicaba los efectos que ocasionarían en las cuentas anuales el hecho </w:t>
      </w:r>
      <w:r w:rsidR="000C6A28">
        <w:rPr>
          <w:rFonts w:ascii="Arial" w:hAnsi="Arial" w:cs="Arial"/>
        </w:rPr>
        <w:t>de aplicar la nueva normativa</w:t>
      </w:r>
      <w:r w:rsidR="008E6F1A">
        <w:rPr>
          <w:rFonts w:ascii="Arial" w:hAnsi="Arial" w:cs="Arial"/>
        </w:rPr>
        <w:t>,</w:t>
      </w:r>
      <w:r w:rsidR="000C6A28">
        <w:rPr>
          <w:rFonts w:ascii="Arial" w:hAnsi="Arial" w:cs="Arial"/>
        </w:rPr>
        <w:t xml:space="preserve"> </w:t>
      </w:r>
      <w:r>
        <w:rPr>
          <w:rFonts w:ascii="Arial" w:hAnsi="Arial" w:cs="Arial"/>
        </w:rPr>
        <w:t>posteriormente el porcentaje se mantiene constante en el último periodo publicado, pese a que la normativa ya se adoptó obligatoriamente en 2010, explican los conceptos clave en los tratamientos de activos intangibles, fondo de comercio, test de deterioro y periodo de amortización para el resto de intangibles, en casos excepcionales, se indica el método de contabilización para revalorizar a valor de mercado las combinaciones realizadas por etapas (sociedad cooperativa BAY WA).</w:t>
      </w:r>
    </w:p>
    <w:p w:rsidR="00547E75" w:rsidRPr="007A7EB8" w:rsidRDefault="00547E75" w:rsidP="00547E75">
      <w:pPr>
        <w:jc w:val="left"/>
        <w:rPr>
          <w:rFonts w:ascii="Arial" w:hAnsi="Arial"/>
        </w:rPr>
      </w:pPr>
    </w:p>
    <w:tbl>
      <w:tblPr>
        <w:tblW w:w="7120" w:type="dxa"/>
        <w:jc w:val="center"/>
        <w:tblCellMar>
          <w:left w:w="70" w:type="dxa"/>
          <w:right w:w="70" w:type="dxa"/>
        </w:tblCellMar>
        <w:tblLook w:val="04A0" w:firstRow="1" w:lastRow="0" w:firstColumn="1" w:lastColumn="0" w:noHBand="0" w:noVBand="1"/>
      </w:tblPr>
      <w:tblGrid>
        <w:gridCol w:w="1960"/>
        <w:gridCol w:w="1630"/>
        <w:gridCol w:w="1200"/>
        <w:gridCol w:w="1200"/>
        <w:gridCol w:w="1200"/>
      </w:tblGrid>
      <w:tr w:rsidR="00333C16" w:rsidRPr="00333C16" w:rsidTr="00333C16">
        <w:trPr>
          <w:trHeight w:val="270"/>
          <w:jc w:val="center"/>
        </w:trPr>
        <w:tc>
          <w:tcPr>
            <w:tcW w:w="1960" w:type="dxa"/>
            <w:tcBorders>
              <w:top w:val="nil"/>
              <w:left w:val="nil"/>
              <w:bottom w:val="nil"/>
              <w:right w:val="nil"/>
            </w:tcBorders>
            <w:shd w:val="clear" w:color="auto" w:fill="auto"/>
            <w:noWrap/>
            <w:vAlign w:val="bottom"/>
            <w:hideMark/>
          </w:tcPr>
          <w:p w:rsidR="00333C16" w:rsidRPr="00333C16" w:rsidRDefault="00333C16" w:rsidP="00333C16">
            <w:pPr>
              <w:spacing w:after="0"/>
              <w:jc w:val="left"/>
              <w:rPr>
                <w:rFonts w:ascii="Times New Roman" w:eastAsia="Times New Roman" w:hAnsi="Times New Roman" w:cs="Times New Roman"/>
                <w:sz w:val="24"/>
                <w:szCs w:val="24"/>
                <w:lang w:eastAsia="es-ES"/>
              </w:rPr>
            </w:pPr>
          </w:p>
        </w:tc>
        <w:tc>
          <w:tcPr>
            <w:tcW w:w="1560" w:type="dxa"/>
            <w:tcBorders>
              <w:top w:val="nil"/>
              <w:left w:val="nil"/>
              <w:bottom w:val="nil"/>
              <w:right w:val="nil"/>
            </w:tcBorders>
            <w:shd w:val="clear" w:color="auto" w:fill="auto"/>
            <w:noWrap/>
            <w:vAlign w:val="center"/>
            <w:hideMark/>
          </w:tcPr>
          <w:p w:rsidR="00333C16" w:rsidRPr="00333C16" w:rsidRDefault="00333C16" w:rsidP="00333C16">
            <w:pPr>
              <w:spacing w:after="0"/>
              <w:jc w:val="left"/>
              <w:rPr>
                <w:rFonts w:ascii="Times New Roman" w:eastAsia="Times New Roman" w:hAnsi="Times New Roman" w:cs="Times New Roman"/>
                <w:sz w:val="20"/>
                <w:szCs w:val="20"/>
                <w:lang w:eastAsia="es-ES"/>
              </w:rPr>
            </w:pP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33C16" w:rsidRPr="00333C16" w:rsidRDefault="00333C16" w:rsidP="00333C16">
            <w:pPr>
              <w:spacing w:after="0"/>
              <w:jc w:val="center"/>
              <w:rPr>
                <w:rFonts w:ascii="Calibri" w:eastAsia="Times New Roman" w:hAnsi="Calibri" w:cs="Calibri"/>
                <w:b/>
                <w:bCs/>
                <w:color w:val="000000"/>
                <w:sz w:val="20"/>
                <w:szCs w:val="20"/>
                <w:lang w:eastAsia="es-ES"/>
              </w:rPr>
            </w:pPr>
            <w:r w:rsidRPr="00333C16">
              <w:rPr>
                <w:rFonts w:ascii="Calibri" w:eastAsia="Times New Roman" w:hAnsi="Calibri" w:cs="Calibri"/>
                <w:b/>
                <w:bCs/>
                <w:color w:val="000000"/>
                <w:sz w:val="20"/>
                <w:szCs w:val="20"/>
                <w:lang w:eastAsia="es-ES"/>
              </w:rPr>
              <w:t>2009</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333C16" w:rsidRPr="00333C16" w:rsidRDefault="00333C16" w:rsidP="00333C16">
            <w:pPr>
              <w:spacing w:after="0"/>
              <w:jc w:val="center"/>
              <w:rPr>
                <w:rFonts w:ascii="Calibri" w:eastAsia="Times New Roman" w:hAnsi="Calibri" w:cs="Calibri"/>
                <w:b/>
                <w:bCs/>
                <w:color w:val="000000"/>
                <w:sz w:val="20"/>
                <w:szCs w:val="20"/>
                <w:lang w:eastAsia="es-ES"/>
              </w:rPr>
            </w:pPr>
            <w:r w:rsidRPr="00333C16">
              <w:rPr>
                <w:rFonts w:ascii="Calibri" w:eastAsia="Times New Roman" w:hAnsi="Calibri" w:cs="Calibri"/>
                <w:b/>
                <w:bCs/>
                <w:color w:val="000000"/>
                <w:sz w:val="20"/>
                <w:szCs w:val="20"/>
                <w:lang w:eastAsia="es-ES"/>
              </w:rPr>
              <w:t>2010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333C16" w:rsidRPr="00333C16" w:rsidRDefault="00333C16" w:rsidP="00333C16">
            <w:pPr>
              <w:spacing w:after="0"/>
              <w:jc w:val="center"/>
              <w:rPr>
                <w:rFonts w:ascii="Calibri" w:eastAsia="Times New Roman" w:hAnsi="Calibri" w:cs="Calibri"/>
                <w:b/>
                <w:bCs/>
                <w:color w:val="000000"/>
                <w:sz w:val="20"/>
                <w:szCs w:val="20"/>
                <w:lang w:eastAsia="es-ES"/>
              </w:rPr>
            </w:pPr>
            <w:r w:rsidRPr="00333C16">
              <w:rPr>
                <w:rFonts w:ascii="Calibri" w:eastAsia="Times New Roman" w:hAnsi="Calibri" w:cs="Calibri"/>
                <w:b/>
                <w:bCs/>
                <w:color w:val="000000"/>
                <w:sz w:val="20"/>
                <w:szCs w:val="20"/>
                <w:lang w:eastAsia="es-ES"/>
              </w:rPr>
              <w:t>2015-2016</w:t>
            </w:r>
          </w:p>
        </w:tc>
      </w:tr>
      <w:tr w:rsidR="00333C16" w:rsidRPr="00333C16" w:rsidTr="00333C16">
        <w:trPr>
          <w:trHeight w:val="525"/>
          <w:jc w:val="center"/>
        </w:trPr>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3C16" w:rsidRPr="00333C16" w:rsidRDefault="00333C16" w:rsidP="00333C16">
            <w:pPr>
              <w:spacing w:after="0"/>
              <w:jc w:val="center"/>
              <w:rPr>
                <w:rFonts w:ascii="Calibri" w:eastAsia="Times New Roman" w:hAnsi="Calibri" w:cs="Calibri"/>
                <w:b/>
                <w:bCs/>
                <w:color w:val="000000"/>
                <w:sz w:val="20"/>
                <w:szCs w:val="20"/>
                <w:lang w:eastAsia="es-ES"/>
              </w:rPr>
            </w:pPr>
            <w:r w:rsidRPr="00333C16">
              <w:rPr>
                <w:rFonts w:ascii="Calibri" w:eastAsia="Times New Roman" w:hAnsi="Calibri" w:cs="Calibri"/>
                <w:b/>
                <w:bCs/>
                <w:color w:val="000000"/>
                <w:sz w:val="20"/>
                <w:szCs w:val="20"/>
                <w:lang w:eastAsia="es-ES"/>
              </w:rPr>
              <w:t>COMBINACIÓN DE NEGOCIOS</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333C16" w:rsidRPr="00333C16" w:rsidRDefault="00333C16" w:rsidP="00333C16">
            <w:pPr>
              <w:spacing w:after="0"/>
              <w:jc w:val="center"/>
              <w:rPr>
                <w:rFonts w:ascii="Calibri" w:eastAsia="Times New Roman" w:hAnsi="Calibri" w:cs="Calibri"/>
                <w:b/>
                <w:bCs/>
                <w:i/>
                <w:iCs/>
                <w:color w:val="000000"/>
                <w:sz w:val="20"/>
                <w:szCs w:val="20"/>
                <w:lang w:eastAsia="es-ES"/>
              </w:rPr>
            </w:pPr>
            <w:r w:rsidRPr="00333C16">
              <w:rPr>
                <w:rFonts w:ascii="Calibri" w:eastAsia="Times New Roman" w:hAnsi="Calibri" w:cs="Calibri"/>
                <w:b/>
                <w:bCs/>
                <w:i/>
                <w:iCs/>
                <w:color w:val="000000"/>
                <w:sz w:val="20"/>
                <w:szCs w:val="20"/>
                <w:lang w:eastAsia="es-ES"/>
              </w:rPr>
              <w:t>NOMBRE Y DESCRIPCIÓN</w:t>
            </w:r>
          </w:p>
        </w:tc>
        <w:tc>
          <w:tcPr>
            <w:tcW w:w="1200" w:type="dxa"/>
            <w:tcBorders>
              <w:top w:val="nil"/>
              <w:left w:val="nil"/>
              <w:bottom w:val="single" w:sz="8" w:space="0" w:color="auto"/>
              <w:right w:val="single" w:sz="8" w:space="0" w:color="auto"/>
            </w:tcBorders>
            <w:shd w:val="clear" w:color="000000" w:fill="BAD881"/>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63,30%</w:t>
            </w:r>
          </w:p>
        </w:tc>
        <w:tc>
          <w:tcPr>
            <w:tcW w:w="1200" w:type="dxa"/>
            <w:tcBorders>
              <w:top w:val="nil"/>
              <w:left w:val="nil"/>
              <w:bottom w:val="single" w:sz="8" w:space="0" w:color="auto"/>
              <w:right w:val="single" w:sz="8" w:space="0" w:color="auto"/>
            </w:tcBorders>
            <w:shd w:val="clear" w:color="000000" w:fill="A9D27F"/>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66,67%</w:t>
            </w:r>
          </w:p>
        </w:tc>
        <w:tc>
          <w:tcPr>
            <w:tcW w:w="1200" w:type="dxa"/>
            <w:tcBorders>
              <w:top w:val="nil"/>
              <w:left w:val="nil"/>
              <w:bottom w:val="single" w:sz="8" w:space="0" w:color="auto"/>
              <w:right w:val="single" w:sz="8" w:space="0" w:color="auto"/>
            </w:tcBorders>
            <w:shd w:val="clear" w:color="000000" w:fill="A7D27F"/>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67%</w:t>
            </w:r>
          </w:p>
        </w:tc>
      </w:tr>
      <w:tr w:rsidR="00333C16" w:rsidRPr="00333C16" w:rsidTr="00333C16">
        <w:trPr>
          <w:trHeight w:val="525"/>
          <w:jc w:val="center"/>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333C16" w:rsidRPr="00333C16" w:rsidRDefault="00333C16" w:rsidP="00333C16">
            <w:pPr>
              <w:spacing w:after="0"/>
              <w:jc w:val="left"/>
              <w:rPr>
                <w:rFonts w:ascii="Calibri" w:eastAsia="Times New Roman" w:hAnsi="Calibri" w:cs="Calibri"/>
                <w:b/>
                <w:bCs/>
                <w:color w:val="000000"/>
                <w:sz w:val="20"/>
                <w:szCs w:val="20"/>
                <w:lang w:eastAsia="es-ES"/>
              </w:rPr>
            </w:pPr>
          </w:p>
        </w:tc>
        <w:tc>
          <w:tcPr>
            <w:tcW w:w="1560" w:type="dxa"/>
            <w:tcBorders>
              <w:top w:val="nil"/>
              <w:left w:val="nil"/>
              <w:bottom w:val="single" w:sz="8" w:space="0" w:color="auto"/>
              <w:right w:val="single" w:sz="8" w:space="0" w:color="auto"/>
            </w:tcBorders>
            <w:shd w:val="clear" w:color="auto" w:fill="auto"/>
            <w:vAlign w:val="center"/>
            <w:hideMark/>
          </w:tcPr>
          <w:p w:rsidR="00333C16" w:rsidRPr="00333C16" w:rsidRDefault="00333C16" w:rsidP="00333C16">
            <w:pPr>
              <w:spacing w:after="0"/>
              <w:jc w:val="center"/>
              <w:rPr>
                <w:rFonts w:ascii="Calibri" w:eastAsia="Times New Roman" w:hAnsi="Calibri" w:cs="Calibri"/>
                <w:b/>
                <w:bCs/>
                <w:i/>
                <w:iCs/>
                <w:color w:val="000000"/>
                <w:sz w:val="20"/>
                <w:szCs w:val="20"/>
                <w:lang w:eastAsia="es-ES"/>
              </w:rPr>
            </w:pPr>
            <w:r w:rsidRPr="00333C16">
              <w:rPr>
                <w:rFonts w:ascii="Calibri" w:eastAsia="Times New Roman" w:hAnsi="Calibri" w:cs="Calibri"/>
                <w:b/>
                <w:bCs/>
                <w:i/>
                <w:iCs/>
                <w:color w:val="000000"/>
                <w:sz w:val="20"/>
                <w:szCs w:val="20"/>
                <w:lang w:eastAsia="es-ES"/>
              </w:rPr>
              <w:t>FECHA DE ADQUISICIÓN</w:t>
            </w:r>
          </w:p>
        </w:tc>
        <w:tc>
          <w:tcPr>
            <w:tcW w:w="1200" w:type="dxa"/>
            <w:tcBorders>
              <w:top w:val="nil"/>
              <w:left w:val="nil"/>
              <w:bottom w:val="single" w:sz="8" w:space="0" w:color="auto"/>
              <w:right w:val="single" w:sz="8" w:space="0" w:color="auto"/>
            </w:tcBorders>
            <w:shd w:val="clear" w:color="000000" w:fill="DDE182"/>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56,70%</w:t>
            </w:r>
          </w:p>
        </w:tc>
        <w:tc>
          <w:tcPr>
            <w:tcW w:w="1200" w:type="dxa"/>
            <w:tcBorders>
              <w:top w:val="nil"/>
              <w:left w:val="nil"/>
              <w:bottom w:val="single" w:sz="8" w:space="0" w:color="auto"/>
              <w:right w:val="single" w:sz="8" w:space="0" w:color="auto"/>
            </w:tcBorders>
            <w:shd w:val="clear" w:color="000000" w:fill="DDE182"/>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56,67%</w:t>
            </w:r>
          </w:p>
        </w:tc>
        <w:tc>
          <w:tcPr>
            <w:tcW w:w="1200" w:type="dxa"/>
            <w:tcBorders>
              <w:top w:val="nil"/>
              <w:left w:val="nil"/>
              <w:bottom w:val="single" w:sz="8" w:space="0" w:color="auto"/>
              <w:right w:val="single" w:sz="8" w:space="0" w:color="auto"/>
            </w:tcBorders>
            <w:shd w:val="clear" w:color="000000" w:fill="CCDD82"/>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60%</w:t>
            </w:r>
          </w:p>
        </w:tc>
      </w:tr>
      <w:tr w:rsidR="00333C16" w:rsidRPr="00333C16" w:rsidTr="00333C16">
        <w:trPr>
          <w:trHeight w:val="780"/>
          <w:jc w:val="center"/>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333C16" w:rsidRPr="00333C16" w:rsidRDefault="00333C16" w:rsidP="00333C16">
            <w:pPr>
              <w:spacing w:after="0"/>
              <w:jc w:val="left"/>
              <w:rPr>
                <w:rFonts w:ascii="Calibri" w:eastAsia="Times New Roman" w:hAnsi="Calibri" w:cs="Calibri"/>
                <w:b/>
                <w:bCs/>
                <w:color w:val="000000"/>
                <w:sz w:val="20"/>
                <w:szCs w:val="20"/>
                <w:lang w:eastAsia="es-ES"/>
              </w:rPr>
            </w:pPr>
          </w:p>
        </w:tc>
        <w:tc>
          <w:tcPr>
            <w:tcW w:w="1560" w:type="dxa"/>
            <w:tcBorders>
              <w:top w:val="nil"/>
              <w:left w:val="nil"/>
              <w:bottom w:val="single" w:sz="8" w:space="0" w:color="auto"/>
              <w:right w:val="single" w:sz="8" w:space="0" w:color="auto"/>
            </w:tcBorders>
            <w:shd w:val="clear" w:color="auto" w:fill="auto"/>
            <w:vAlign w:val="center"/>
            <w:hideMark/>
          </w:tcPr>
          <w:p w:rsidR="00333C16" w:rsidRPr="00333C16" w:rsidRDefault="00333C16" w:rsidP="00333C16">
            <w:pPr>
              <w:spacing w:after="0"/>
              <w:jc w:val="center"/>
              <w:rPr>
                <w:rFonts w:ascii="Calibri" w:eastAsia="Times New Roman" w:hAnsi="Calibri" w:cs="Calibri"/>
                <w:b/>
                <w:bCs/>
                <w:i/>
                <w:iCs/>
                <w:color w:val="000000"/>
                <w:sz w:val="20"/>
                <w:szCs w:val="20"/>
                <w:lang w:eastAsia="es-ES"/>
              </w:rPr>
            </w:pPr>
            <w:r w:rsidRPr="00333C16">
              <w:rPr>
                <w:rFonts w:ascii="Calibri" w:eastAsia="Times New Roman" w:hAnsi="Calibri" w:cs="Calibri"/>
                <w:b/>
                <w:bCs/>
                <w:i/>
                <w:iCs/>
                <w:color w:val="000000"/>
                <w:sz w:val="20"/>
                <w:szCs w:val="20"/>
                <w:lang w:eastAsia="es-ES"/>
              </w:rPr>
              <w:t>% DE PARTICIPACIONES</w:t>
            </w:r>
          </w:p>
        </w:tc>
        <w:tc>
          <w:tcPr>
            <w:tcW w:w="1200" w:type="dxa"/>
            <w:tcBorders>
              <w:top w:val="nil"/>
              <w:left w:val="nil"/>
              <w:bottom w:val="single" w:sz="8" w:space="0" w:color="auto"/>
              <w:right w:val="single" w:sz="8" w:space="0" w:color="auto"/>
            </w:tcBorders>
            <w:shd w:val="clear" w:color="000000" w:fill="FFEB84"/>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50,00%</w:t>
            </w:r>
          </w:p>
        </w:tc>
        <w:tc>
          <w:tcPr>
            <w:tcW w:w="1200" w:type="dxa"/>
            <w:tcBorders>
              <w:top w:val="nil"/>
              <w:left w:val="nil"/>
              <w:bottom w:val="single" w:sz="8" w:space="0" w:color="auto"/>
              <w:right w:val="single" w:sz="8" w:space="0" w:color="auto"/>
            </w:tcBorders>
            <w:shd w:val="clear" w:color="000000" w:fill="EEE784"/>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53,33%</w:t>
            </w:r>
          </w:p>
        </w:tc>
        <w:tc>
          <w:tcPr>
            <w:tcW w:w="1200" w:type="dxa"/>
            <w:tcBorders>
              <w:top w:val="nil"/>
              <w:left w:val="nil"/>
              <w:bottom w:val="single" w:sz="8" w:space="0" w:color="auto"/>
              <w:right w:val="single" w:sz="8" w:space="0" w:color="auto"/>
            </w:tcBorders>
            <w:shd w:val="clear" w:color="000000" w:fill="CCDD82"/>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60%</w:t>
            </w:r>
          </w:p>
        </w:tc>
      </w:tr>
      <w:tr w:rsidR="00333C16" w:rsidRPr="00333C16" w:rsidTr="00333C16">
        <w:trPr>
          <w:trHeight w:val="525"/>
          <w:jc w:val="center"/>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333C16" w:rsidRPr="00333C16" w:rsidRDefault="00333C16" w:rsidP="00333C16">
            <w:pPr>
              <w:spacing w:after="0"/>
              <w:jc w:val="left"/>
              <w:rPr>
                <w:rFonts w:ascii="Calibri" w:eastAsia="Times New Roman" w:hAnsi="Calibri" w:cs="Calibri"/>
                <w:b/>
                <w:bCs/>
                <w:color w:val="000000"/>
                <w:sz w:val="20"/>
                <w:szCs w:val="20"/>
                <w:lang w:eastAsia="es-ES"/>
              </w:rPr>
            </w:pPr>
          </w:p>
        </w:tc>
        <w:tc>
          <w:tcPr>
            <w:tcW w:w="1560" w:type="dxa"/>
            <w:tcBorders>
              <w:top w:val="nil"/>
              <w:left w:val="nil"/>
              <w:bottom w:val="single" w:sz="8" w:space="0" w:color="auto"/>
              <w:right w:val="single" w:sz="8" w:space="0" w:color="auto"/>
            </w:tcBorders>
            <w:shd w:val="clear" w:color="auto" w:fill="auto"/>
            <w:vAlign w:val="center"/>
            <w:hideMark/>
          </w:tcPr>
          <w:p w:rsidR="00333C16" w:rsidRPr="00333C16" w:rsidRDefault="00333C16" w:rsidP="00333C16">
            <w:pPr>
              <w:spacing w:after="0"/>
              <w:jc w:val="center"/>
              <w:rPr>
                <w:rFonts w:ascii="Calibri" w:eastAsia="Times New Roman" w:hAnsi="Calibri" w:cs="Calibri"/>
                <w:b/>
                <w:bCs/>
                <w:i/>
                <w:iCs/>
                <w:color w:val="000000"/>
                <w:sz w:val="20"/>
                <w:szCs w:val="20"/>
                <w:lang w:eastAsia="es-ES"/>
              </w:rPr>
            </w:pPr>
            <w:r w:rsidRPr="00333C16">
              <w:rPr>
                <w:rFonts w:ascii="Calibri" w:eastAsia="Times New Roman" w:hAnsi="Calibri" w:cs="Calibri"/>
                <w:b/>
                <w:bCs/>
                <w:i/>
                <w:iCs/>
                <w:color w:val="000000"/>
                <w:sz w:val="20"/>
                <w:szCs w:val="20"/>
                <w:lang w:eastAsia="es-ES"/>
              </w:rPr>
              <w:t>RAZONES PRINCIPALES</w:t>
            </w:r>
          </w:p>
        </w:tc>
        <w:tc>
          <w:tcPr>
            <w:tcW w:w="1200" w:type="dxa"/>
            <w:tcBorders>
              <w:top w:val="nil"/>
              <w:left w:val="nil"/>
              <w:bottom w:val="single" w:sz="8" w:space="0" w:color="auto"/>
              <w:right w:val="single" w:sz="8" w:space="0" w:color="auto"/>
            </w:tcBorders>
            <w:shd w:val="clear" w:color="000000" w:fill="FCBC7B"/>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33,30%</w:t>
            </w:r>
          </w:p>
        </w:tc>
        <w:tc>
          <w:tcPr>
            <w:tcW w:w="1200" w:type="dxa"/>
            <w:tcBorders>
              <w:top w:val="nil"/>
              <w:left w:val="nil"/>
              <w:bottom w:val="single" w:sz="8" w:space="0" w:color="auto"/>
              <w:right w:val="single" w:sz="8" w:space="0" w:color="auto"/>
            </w:tcBorders>
            <w:shd w:val="clear" w:color="000000" w:fill="FDC57C"/>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36,67%</w:t>
            </w:r>
          </w:p>
        </w:tc>
        <w:tc>
          <w:tcPr>
            <w:tcW w:w="1200" w:type="dxa"/>
            <w:tcBorders>
              <w:top w:val="nil"/>
              <w:left w:val="nil"/>
              <w:bottom w:val="single" w:sz="8" w:space="0" w:color="auto"/>
              <w:right w:val="single" w:sz="8" w:space="0" w:color="auto"/>
            </w:tcBorders>
            <w:shd w:val="clear" w:color="000000" w:fill="FDCF7E"/>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40%</w:t>
            </w:r>
          </w:p>
        </w:tc>
      </w:tr>
    </w:tbl>
    <w:p w:rsidR="00041B01" w:rsidRDefault="00041B01" w:rsidP="00E916DA">
      <w:pPr>
        <w:rPr>
          <w:rFonts w:ascii="Arial" w:hAnsi="Arial"/>
        </w:rPr>
      </w:pPr>
    </w:p>
    <w:p w:rsidR="008F6958" w:rsidRDefault="008F6958" w:rsidP="008E6F1A">
      <w:pPr>
        <w:rPr>
          <w:rFonts w:ascii="Arial" w:hAnsi="Arial" w:cs="Arial"/>
        </w:rPr>
      </w:pPr>
      <w:r>
        <w:rPr>
          <w:rFonts w:ascii="Arial" w:hAnsi="Arial" w:cs="Arial"/>
        </w:rPr>
        <w:t>Sobre la información relevante de las combinaciones de negocios efectuadas en el periodo cabe destacar lo siguiente, en el ejercicio 2009 en el 63% de los casos se describía el nombre y la actividad de la entidad adquirida, posteriormente, en 2010 ese porcentaje se incrementó hasta constituir el 67% y se mantuvo estable en el último ciclo presentado.</w:t>
      </w:r>
    </w:p>
    <w:p w:rsidR="008F6958" w:rsidRDefault="008F6958" w:rsidP="008E6F1A">
      <w:pPr>
        <w:rPr>
          <w:rFonts w:ascii="Arial" w:hAnsi="Arial" w:cs="Arial"/>
        </w:rPr>
      </w:pPr>
      <w:r>
        <w:rPr>
          <w:rFonts w:ascii="Arial" w:hAnsi="Arial" w:cs="Arial"/>
        </w:rPr>
        <w:t>La divulgación de la fecha de adquisición en las combinaciones de negocios efectuadas es menor, en 2009 se informaba en el 56% de las cuentas anuales analizadas, posteriormente se mantuvo estable en 2010, y en el último ejercicio económico publicada se incrementó hasta el 60%.</w:t>
      </w:r>
    </w:p>
    <w:p w:rsidR="008F6958" w:rsidRDefault="008F6958" w:rsidP="008E6F1A">
      <w:pPr>
        <w:rPr>
          <w:rFonts w:ascii="Arial" w:hAnsi="Arial" w:cs="Arial"/>
        </w:rPr>
      </w:pPr>
      <w:r>
        <w:rPr>
          <w:rFonts w:ascii="Arial" w:hAnsi="Arial" w:cs="Arial"/>
        </w:rPr>
        <w:t>El porcentaje de participaciones adquiridas con derecho a voto mantiene una tendencia similar en 2009 constituía el 50%, incremento en un 3,3% de la muestra en 2010 y finalmente en 2015-2016 aumentó hasta el 60%.</w:t>
      </w:r>
    </w:p>
    <w:p w:rsidR="008F6958" w:rsidRPr="008F6958" w:rsidRDefault="008F6958" w:rsidP="008E6F1A">
      <w:pPr>
        <w:rPr>
          <w:rFonts w:ascii="Arial" w:hAnsi="Arial" w:cs="Arial"/>
        </w:rPr>
      </w:pPr>
      <w:r>
        <w:rPr>
          <w:rFonts w:ascii="Arial" w:hAnsi="Arial" w:cs="Arial"/>
        </w:rPr>
        <w:t>El ítem que menor participación divulgativa tiene en el área de la información de las combinaciones de negocio efectuadas es la explicación de las razones o sinergias que han ocasionado la adquisición de la empresa por parte de la entidad compradora, en 2009 se divulgaba en un 33.3% de los casos, aumento un 3% en 2010 y finalmente se estabilizo en un 40% en el último ciclo económico publicado.</w:t>
      </w:r>
    </w:p>
    <w:tbl>
      <w:tblPr>
        <w:tblW w:w="7120" w:type="dxa"/>
        <w:jc w:val="center"/>
        <w:tblCellMar>
          <w:left w:w="70" w:type="dxa"/>
          <w:right w:w="70" w:type="dxa"/>
        </w:tblCellMar>
        <w:tblLook w:val="04A0" w:firstRow="1" w:lastRow="0" w:firstColumn="1" w:lastColumn="0" w:noHBand="0" w:noVBand="1"/>
      </w:tblPr>
      <w:tblGrid>
        <w:gridCol w:w="1960"/>
        <w:gridCol w:w="1560"/>
        <w:gridCol w:w="1200"/>
        <w:gridCol w:w="1200"/>
        <w:gridCol w:w="1200"/>
      </w:tblGrid>
      <w:tr w:rsidR="00333C16" w:rsidRPr="00333C16" w:rsidTr="00333C16">
        <w:trPr>
          <w:trHeight w:val="270"/>
          <w:jc w:val="center"/>
        </w:trPr>
        <w:tc>
          <w:tcPr>
            <w:tcW w:w="1960" w:type="dxa"/>
            <w:tcBorders>
              <w:top w:val="nil"/>
              <w:left w:val="nil"/>
              <w:bottom w:val="nil"/>
              <w:right w:val="nil"/>
            </w:tcBorders>
            <w:shd w:val="clear" w:color="auto" w:fill="auto"/>
            <w:noWrap/>
            <w:vAlign w:val="center"/>
            <w:hideMark/>
          </w:tcPr>
          <w:p w:rsidR="00333C16" w:rsidRPr="00333C16" w:rsidRDefault="00333C16" w:rsidP="00333C16">
            <w:pPr>
              <w:spacing w:after="0"/>
              <w:jc w:val="left"/>
              <w:rPr>
                <w:rFonts w:ascii="Times New Roman" w:eastAsia="Times New Roman" w:hAnsi="Times New Roman" w:cs="Times New Roman"/>
                <w:sz w:val="24"/>
                <w:szCs w:val="24"/>
                <w:lang w:eastAsia="es-ES"/>
              </w:rPr>
            </w:pPr>
          </w:p>
        </w:tc>
        <w:tc>
          <w:tcPr>
            <w:tcW w:w="1560" w:type="dxa"/>
            <w:tcBorders>
              <w:top w:val="nil"/>
              <w:left w:val="nil"/>
              <w:bottom w:val="nil"/>
              <w:right w:val="nil"/>
            </w:tcBorders>
            <w:shd w:val="clear" w:color="auto" w:fill="auto"/>
            <w:noWrap/>
            <w:vAlign w:val="center"/>
            <w:hideMark/>
          </w:tcPr>
          <w:p w:rsidR="00333C16" w:rsidRPr="00333C16" w:rsidRDefault="00333C16" w:rsidP="00333C16">
            <w:pPr>
              <w:spacing w:after="0"/>
              <w:jc w:val="left"/>
              <w:rPr>
                <w:rFonts w:ascii="Times New Roman" w:eastAsia="Times New Roman" w:hAnsi="Times New Roman" w:cs="Times New Roman"/>
                <w:sz w:val="20"/>
                <w:szCs w:val="20"/>
                <w:lang w:eastAsia="es-ES"/>
              </w:rPr>
            </w:pPr>
          </w:p>
        </w:tc>
        <w:tc>
          <w:tcPr>
            <w:tcW w:w="1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33C16" w:rsidRPr="00333C16" w:rsidRDefault="00333C16" w:rsidP="00333C16">
            <w:pPr>
              <w:spacing w:after="0"/>
              <w:jc w:val="center"/>
              <w:rPr>
                <w:rFonts w:ascii="Calibri" w:eastAsia="Times New Roman" w:hAnsi="Calibri" w:cs="Calibri"/>
                <w:b/>
                <w:bCs/>
                <w:color w:val="000000"/>
                <w:sz w:val="20"/>
                <w:szCs w:val="20"/>
                <w:lang w:eastAsia="es-ES"/>
              </w:rPr>
            </w:pPr>
            <w:r w:rsidRPr="00333C16">
              <w:rPr>
                <w:rFonts w:ascii="Calibri" w:eastAsia="Times New Roman" w:hAnsi="Calibri" w:cs="Calibri"/>
                <w:b/>
                <w:bCs/>
                <w:color w:val="000000"/>
                <w:sz w:val="20"/>
                <w:szCs w:val="20"/>
                <w:lang w:eastAsia="es-ES"/>
              </w:rPr>
              <w:t>2009</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333C16" w:rsidRPr="00333C16" w:rsidRDefault="00333C16" w:rsidP="00333C16">
            <w:pPr>
              <w:spacing w:after="0"/>
              <w:jc w:val="center"/>
              <w:rPr>
                <w:rFonts w:ascii="Calibri" w:eastAsia="Times New Roman" w:hAnsi="Calibri" w:cs="Calibri"/>
                <w:b/>
                <w:bCs/>
                <w:color w:val="000000"/>
                <w:sz w:val="20"/>
                <w:szCs w:val="20"/>
                <w:lang w:eastAsia="es-ES"/>
              </w:rPr>
            </w:pPr>
            <w:r w:rsidRPr="00333C16">
              <w:rPr>
                <w:rFonts w:ascii="Calibri" w:eastAsia="Times New Roman" w:hAnsi="Calibri" w:cs="Calibri"/>
                <w:b/>
                <w:bCs/>
                <w:color w:val="000000"/>
                <w:sz w:val="20"/>
                <w:szCs w:val="20"/>
                <w:lang w:eastAsia="es-ES"/>
              </w:rPr>
              <w:t>2010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333C16" w:rsidRPr="00333C16" w:rsidRDefault="00333C16" w:rsidP="00333C16">
            <w:pPr>
              <w:spacing w:after="0"/>
              <w:jc w:val="center"/>
              <w:rPr>
                <w:rFonts w:ascii="Calibri" w:eastAsia="Times New Roman" w:hAnsi="Calibri" w:cs="Calibri"/>
                <w:b/>
                <w:bCs/>
                <w:color w:val="000000"/>
                <w:sz w:val="20"/>
                <w:szCs w:val="20"/>
                <w:lang w:eastAsia="es-ES"/>
              </w:rPr>
            </w:pPr>
            <w:r w:rsidRPr="00333C16">
              <w:rPr>
                <w:rFonts w:ascii="Calibri" w:eastAsia="Times New Roman" w:hAnsi="Calibri" w:cs="Calibri"/>
                <w:b/>
                <w:bCs/>
                <w:color w:val="000000"/>
                <w:sz w:val="20"/>
                <w:szCs w:val="20"/>
                <w:lang w:eastAsia="es-ES"/>
              </w:rPr>
              <w:t>2015-2016</w:t>
            </w:r>
          </w:p>
        </w:tc>
      </w:tr>
      <w:tr w:rsidR="00333C16" w:rsidRPr="00333C16" w:rsidTr="00333C16">
        <w:trPr>
          <w:trHeight w:val="525"/>
          <w:jc w:val="center"/>
        </w:trPr>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3C16" w:rsidRPr="00333C16" w:rsidRDefault="00333C16" w:rsidP="00333C16">
            <w:pPr>
              <w:spacing w:after="0"/>
              <w:jc w:val="center"/>
              <w:rPr>
                <w:rFonts w:ascii="Calibri" w:eastAsia="Times New Roman" w:hAnsi="Calibri" w:cs="Calibri"/>
                <w:b/>
                <w:bCs/>
                <w:color w:val="000000"/>
                <w:sz w:val="20"/>
                <w:szCs w:val="20"/>
                <w:lang w:eastAsia="es-ES"/>
              </w:rPr>
            </w:pPr>
            <w:r w:rsidRPr="00333C16">
              <w:rPr>
                <w:rFonts w:ascii="Calibri" w:eastAsia="Times New Roman" w:hAnsi="Calibri" w:cs="Calibri"/>
                <w:b/>
                <w:bCs/>
                <w:color w:val="000000"/>
                <w:sz w:val="20"/>
                <w:szCs w:val="20"/>
                <w:lang w:eastAsia="es-ES"/>
              </w:rPr>
              <w:t>INFORMACIÓN SOBRE INTERESES MINORITARIOS</w:t>
            </w:r>
          </w:p>
        </w:tc>
        <w:tc>
          <w:tcPr>
            <w:tcW w:w="1560" w:type="dxa"/>
            <w:tcBorders>
              <w:top w:val="single" w:sz="8" w:space="0" w:color="auto"/>
              <w:left w:val="nil"/>
              <w:bottom w:val="single" w:sz="8" w:space="0" w:color="auto"/>
              <w:right w:val="nil"/>
            </w:tcBorders>
            <w:shd w:val="clear" w:color="auto" w:fill="auto"/>
            <w:vAlign w:val="center"/>
            <w:hideMark/>
          </w:tcPr>
          <w:p w:rsidR="00333C16" w:rsidRPr="00333C16" w:rsidRDefault="00333C16" w:rsidP="00333C16">
            <w:pPr>
              <w:spacing w:after="0"/>
              <w:jc w:val="center"/>
              <w:rPr>
                <w:rFonts w:ascii="Calibri" w:eastAsia="Times New Roman" w:hAnsi="Calibri" w:cs="Calibri"/>
                <w:b/>
                <w:bCs/>
                <w:i/>
                <w:iCs/>
                <w:color w:val="000000"/>
                <w:sz w:val="20"/>
                <w:szCs w:val="20"/>
                <w:lang w:eastAsia="es-ES"/>
              </w:rPr>
            </w:pPr>
            <w:r w:rsidRPr="00333C16">
              <w:rPr>
                <w:rFonts w:ascii="Calibri" w:eastAsia="Times New Roman" w:hAnsi="Calibri" w:cs="Calibri"/>
                <w:b/>
                <w:bCs/>
                <w:i/>
                <w:iCs/>
                <w:color w:val="000000"/>
                <w:sz w:val="20"/>
                <w:szCs w:val="20"/>
                <w:lang w:eastAsia="es-ES"/>
              </w:rPr>
              <w:t>CRITERIOS DE VALORACIÓN</w:t>
            </w:r>
          </w:p>
        </w:tc>
        <w:tc>
          <w:tcPr>
            <w:tcW w:w="1200" w:type="dxa"/>
            <w:tcBorders>
              <w:top w:val="single" w:sz="8" w:space="0" w:color="auto"/>
              <w:left w:val="single" w:sz="8" w:space="0" w:color="auto"/>
              <w:bottom w:val="single" w:sz="8" w:space="0" w:color="auto"/>
              <w:right w:val="single" w:sz="8" w:space="0" w:color="auto"/>
            </w:tcBorders>
            <w:shd w:val="clear" w:color="000000" w:fill="BAD881"/>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63,30%</w:t>
            </w:r>
          </w:p>
        </w:tc>
        <w:tc>
          <w:tcPr>
            <w:tcW w:w="1200" w:type="dxa"/>
            <w:tcBorders>
              <w:top w:val="single" w:sz="8" w:space="0" w:color="auto"/>
              <w:left w:val="nil"/>
              <w:bottom w:val="single" w:sz="8" w:space="0" w:color="auto"/>
              <w:right w:val="single" w:sz="8" w:space="0" w:color="auto"/>
            </w:tcBorders>
            <w:shd w:val="clear" w:color="000000" w:fill="BAD881"/>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63,33%</w:t>
            </w:r>
          </w:p>
        </w:tc>
        <w:tc>
          <w:tcPr>
            <w:tcW w:w="1200" w:type="dxa"/>
            <w:tcBorders>
              <w:top w:val="single" w:sz="8" w:space="0" w:color="auto"/>
              <w:left w:val="nil"/>
              <w:bottom w:val="single" w:sz="8" w:space="0" w:color="auto"/>
              <w:right w:val="single" w:sz="8" w:space="0" w:color="auto"/>
            </w:tcBorders>
            <w:shd w:val="clear" w:color="000000" w:fill="88C97E"/>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73%</w:t>
            </w:r>
          </w:p>
        </w:tc>
      </w:tr>
      <w:tr w:rsidR="00333C16" w:rsidRPr="00333C16" w:rsidTr="00333C16">
        <w:trPr>
          <w:trHeight w:val="525"/>
          <w:jc w:val="center"/>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333C16" w:rsidRPr="00333C16" w:rsidRDefault="00333C16" w:rsidP="00333C16">
            <w:pPr>
              <w:spacing w:after="0"/>
              <w:jc w:val="left"/>
              <w:rPr>
                <w:rFonts w:ascii="Calibri" w:eastAsia="Times New Roman" w:hAnsi="Calibri" w:cs="Calibri"/>
                <w:b/>
                <w:bCs/>
                <w:color w:val="000000"/>
                <w:sz w:val="20"/>
                <w:szCs w:val="20"/>
                <w:lang w:eastAsia="es-ES"/>
              </w:rPr>
            </w:pPr>
          </w:p>
        </w:tc>
        <w:tc>
          <w:tcPr>
            <w:tcW w:w="1560" w:type="dxa"/>
            <w:tcBorders>
              <w:top w:val="nil"/>
              <w:left w:val="nil"/>
              <w:bottom w:val="nil"/>
              <w:right w:val="nil"/>
            </w:tcBorders>
            <w:shd w:val="clear" w:color="auto" w:fill="auto"/>
            <w:vAlign w:val="center"/>
            <w:hideMark/>
          </w:tcPr>
          <w:p w:rsidR="00333C16" w:rsidRPr="00333C16" w:rsidRDefault="00333C16" w:rsidP="00333C16">
            <w:pPr>
              <w:spacing w:after="0"/>
              <w:jc w:val="center"/>
              <w:rPr>
                <w:rFonts w:ascii="Calibri" w:eastAsia="Times New Roman" w:hAnsi="Calibri" w:cs="Calibri"/>
                <w:b/>
                <w:bCs/>
                <w:i/>
                <w:iCs/>
                <w:color w:val="000000"/>
                <w:sz w:val="20"/>
                <w:szCs w:val="20"/>
                <w:lang w:eastAsia="es-ES"/>
              </w:rPr>
            </w:pPr>
            <w:r w:rsidRPr="00333C16">
              <w:rPr>
                <w:rFonts w:ascii="Calibri" w:eastAsia="Times New Roman" w:hAnsi="Calibri" w:cs="Calibri"/>
                <w:b/>
                <w:bCs/>
                <w:i/>
                <w:iCs/>
                <w:color w:val="000000"/>
                <w:sz w:val="20"/>
                <w:szCs w:val="20"/>
                <w:lang w:eastAsia="es-ES"/>
              </w:rPr>
              <w:t>VALOR RAZONABLE</w:t>
            </w:r>
          </w:p>
        </w:tc>
        <w:tc>
          <w:tcPr>
            <w:tcW w:w="1200" w:type="dxa"/>
            <w:tcBorders>
              <w:top w:val="nil"/>
              <w:left w:val="single" w:sz="8" w:space="0" w:color="auto"/>
              <w:bottom w:val="single" w:sz="4" w:space="0" w:color="auto"/>
              <w:right w:val="single" w:sz="8" w:space="0" w:color="auto"/>
            </w:tcBorders>
            <w:shd w:val="clear" w:color="000000" w:fill="98CE7F"/>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70,00%</w:t>
            </w:r>
          </w:p>
        </w:tc>
        <w:tc>
          <w:tcPr>
            <w:tcW w:w="1200" w:type="dxa"/>
            <w:tcBorders>
              <w:top w:val="nil"/>
              <w:left w:val="nil"/>
              <w:bottom w:val="single" w:sz="8" w:space="0" w:color="auto"/>
              <w:right w:val="single" w:sz="8" w:space="0" w:color="auto"/>
            </w:tcBorders>
            <w:shd w:val="clear" w:color="000000" w:fill="A9D27F"/>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66,67%</w:t>
            </w:r>
          </w:p>
        </w:tc>
        <w:tc>
          <w:tcPr>
            <w:tcW w:w="1200" w:type="dxa"/>
            <w:tcBorders>
              <w:top w:val="nil"/>
              <w:left w:val="nil"/>
              <w:bottom w:val="single" w:sz="8" w:space="0" w:color="auto"/>
              <w:right w:val="single" w:sz="8" w:space="0" w:color="auto"/>
            </w:tcBorders>
            <w:shd w:val="clear" w:color="000000" w:fill="88C97E"/>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73%</w:t>
            </w:r>
          </w:p>
        </w:tc>
      </w:tr>
      <w:tr w:rsidR="00333C16" w:rsidRPr="00333C16" w:rsidTr="00333C16">
        <w:trPr>
          <w:trHeight w:val="270"/>
          <w:jc w:val="center"/>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333C16" w:rsidRPr="00333C16" w:rsidRDefault="00333C16" w:rsidP="00333C16">
            <w:pPr>
              <w:spacing w:after="0"/>
              <w:jc w:val="left"/>
              <w:rPr>
                <w:rFonts w:ascii="Calibri" w:eastAsia="Times New Roman" w:hAnsi="Calibri" w:cs="Calibri"/>
                <w:b/>
                <w:bCs/>
                <w:color w:val="000000"/>
                <w:sz w:val="20"/>
                <w:szCs w:val="20"/>
                <w:lang w:eastAsia="es-ES"/>
              </w:rPr>
            </w:pPr>
          </w:p>
        </w:tc>
        <w:tc>
          <w:tcPr>
            <w:tcW w:w="1560" w:type="dxa"/>
            <w:tcBorders>
              <w:top w:val="single" w:sz="8" w:space="0" w:color="auto"/>
              <w:left w:val="nil"/>
              <w:bottom w:val="single" w:sz="8" w:space="0" w:color="auto"/>
              <w:right w:val="nil"/>
            </w:tcBorders>
            <w:shd w:val="clear" w:color="auto" w:fill="auto"/>
            <w:vAlign w:val="center"/>
            <w:hideMark/>
          </w:tcPr>
          <w:p w:rsidR="00333C16" w:rsidRPr="00333C16" w:rsidRDefault="00333C16" w:rsidP="00333C16">
            <w:pPr>
              <w:spacing w:after="0"/>
              <w:jc w:val="center"/>
              <w:rPr>
                <w:rFonts w:ascii="Calibri" w:eastAsia="Times New Roman" w:hAnsi="Calibri" w:cs="Calibri"/>
                <w:b/>
                <w:bCs/>
                <w:i/>
                <w:iCs/>
                <w:color w:val="000000"/>
                <w:sz w:val="20"/>
                <w:szCs w:val="20"/>
                <w:lang w:eastAsia="es-ES"/>
              </w:rPr>
            </w:pPr>
            <w:r w:rsidRPr="00333C16">
              <w:rPr>
                <w:rFonts w:ascii="Calibri" w:eastAsia="Times New Roman" w:hAnsi="Calibri" w:cs="Calibri"/>
                <w:b/>
                <w:bCs/>
                <w:i/>
                <w:iCs/>
                <w:color w:val="000000"/>
                <w:sz w:val="20"/>
                <w:szCs w:val="20"/>
                <w:lang w:eastAsia="es-ES"/>
              </w:rPr>
              <w:t xml:space="preserve">PORCENTAJE </w:t>
            </w:r>
          </w:p>
        </w:tc>
        <w:tc>
          <w:tcPr>
            <w:tcW w:w="1200" w:type="dxa"/>
            <w:tcBorders>
              <w:top w:val="single" w:sz="4" w:space="0" w:color="auto"/>
              <w:left w:val="single" w:sz="8" w:space="0" w:color="auto"/>
              <w:bottom w:val="single" w:sz="8" w:space="0" w:color="auto"/>
              <w:right w:val="single" w:sz="8" w:space="0" w:color="auto"/>
            </w:tcBorders>
            <w:shd w:val="clear" w:color="000000" w:fill="FDCF7E"/>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40,00%</w:t>
            </w:r>
          </w:p>
        </w:tc>
        <w:tc>
          <w:tcPr>
            <w:tcW w:w="1200" w:type="dxa"/>
            <w:tcBorders>
              <w:top w:val="nil"/>
              <w:left w:val="nil"/>
              <w:bottom w:val="single" w:sz="8" w:space="0" w:color="auto"/>
              <w:right w:val="single" w:sz="8" w:space="0" w:color="auto"/>
            </w:tcBorders>
            <w:shd w:val="clear" w:color="000000" w:fill="FDCF7E"/>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40,00%</w:t>
            </w:r>
          </w:p>
        </w:tc>
        <w:tc>
          <w:tcPr>
            <w:tcW w:w="1200" w:type="dxa"/>
            <w:tcBorders>
              <w:top w:val="nil"/>
              <w:left w:val="nil"/>
              <w:bottom w:val="single" w:sz="8" w:space="0" w:color="auto"/>
              <w:right w:val="single" w:sz="8" w:space="0" w:color="auto"/>
            </w:tcBorders>
            <w:shd w:val="clear" w:color="000000" w:fill="FEE282"/>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47%</w:t>
            </w:r>
          </w:p>
        </w:tc>
      </w:tr>
    </w:tbl>
    <w:p w:rsidR="008F6958" w:rsidRDefault="008F6958" w:rsidP="008F6958">
      <w:pPr>
        <w:spacing w:line="360" w:lineRule="auto"/>
        <w:rPr>
          <w:rFonts w:ascii="Arial" w:hAnsi="Arial" w:cs="Arial"/>
        </w:rPr>
      </w:pPr>
    </w:p>
    <w:p w:rsidR="008F6958" w:rsidRDefault="008F6958" w:rsidP="008E6F1A">
      <w:pPr>
        <w:rPr>
          <w:rFonts w:ascii="Arial" w:hAnsi="Arial" w:cs="Arial"/>
        </w:rPr>
      </w:pPr>
      <w:r>
        <w:rPr>
          <w:rFonts w:ascii="Arial" w:hAnsi="Arial" w:cs="Arial"/>
        </w:rPr>
        <w:t>Estudiando los ítems relativos a la información ofrecida sobre los intereses minoritarios en las combinaciones de negocios, destacamos que se ha considerado que se exponen los criterios de valoración cuando en las cuentas anuales se reseña junto a los principios alguna mención relativa a estos, el valor razonable se ha considerado como tal en los casos en los que se valora la participación en los ingresos de los intereses minoritarios y/o se representan los mismos en el balance, el porcentaje de participación de estos en la mayoría de los casos se muestra de manera indirecta a través del porcentaje de participación sobre beneficios.</w:t>
      </w:r>
    </w:p>
    <w:p w:rsidR="008F6958" w:rsidRDefault="008F6958" w:rsidP="008E6F1A">
      <w:pPr>
        <w:rPr>
          <w:rFonts w:ascii="Arial" w:hAnsi="Arial" w:cs="Arial"/>
        </w:rPr>
      </w:pPr>
      <w:r>
        <w:rPr>
          <w:rFonts w:ascii="Arial" w:hAnsi="Arial" w:cs="Arial"/>
        </w:rPr>
        <w:t>En 2009 en el 63,3% de los casos se exponen los criterios de valoración de los intereses minoritarios, el número de empresas que cumple este criterio se mantiene estable en 2010, y en el último periodo se incrementa en un 10% hasta constituir un 73%.</w:t>
      </w:r>
    </w:p>
    <w:p w:rsidR="008F6958" w:rsidRDefault="008F6958" w:rsidP="008E6F1A">
      <w:pPr>
        <w:rPr>
          <w:rFonts w:ascii="Arial" w:hAnsi="Arial" w:cs="Arial"/>
        </w:rPr>
      </w:pPr>
      <w:r>
        <w:rPr>
          <w:rFonts w:ascii="Arial" w:hAnsi="Arial" w:cs="Arial"/>
        </w:rPr>
        <w:t>Respecto al valor razonable, el 70% de las empresas lo indicaba en sus cuentas anuales en 2009, posteriormente, en 2010 la cifra se redujo hasta el 66% para incrementarse al 73% en el último periodo.</w:t>
      </w:r>
    </w:p>
    <w:p w:rsidR="008F6958" w:rsidRPr="00F94280" w:rsidRDefault="008F6958" w:rsidP="008E6F1A">
      <w:pPr>
        <w:rPr>
          <w:rFonts w:ascii="Arial" w:hAnsi="Arial" w:cs="Arial"/>
        </w:rPr>
      </w:pPr>
      <w:r>
        <w:rPr>
          <w:rFonts w:ascii="Arial" w:hAnsi="Arial" w:cs="Arial"/>
        </w:rPr>
        <w:lastRenderedPageBreak/>
        <w:t>Es relevante el porcentaje de divulgación referente al porcentaje de participación de los intereses minoritarios, en 2009 constituía el 40% y se mantuvo en 2010, para posteriormente incrementarse hasta el 47% durante el último ciclo económico publicado.</w:t>
      </w:r>
    </w:p>
    <w:p w:rsidR="008E6F1A" w:rsidRDefault="008E6F1A" w:rsidP="00E916DA">
      <w:pPr>
        <w:rPr>
          <w:rFonts w:ascii="Arial" w:hAnsi="Arial"/>
        </w:rPr>
      </w:pPr>
    </w:p>
    <w:tbl>
      <w:tblPr>
        <w:tblW w:w="7120" w:type="dxa"/>
        <w:jc w:val="center"/>
        <w:tblCellMar>
          <w:left w:w="70" w:type="dxa"/>
          <w:right w:w="70" w:type="dxa"/>
        </w:tblCellMar>
        <w:tblLook w:val="04A0" w:firstRow="1" w:lastRow="0" w:firstColumn="1" w:lastColumn="0" w:noHBand="0" w:noVBand="1"/>
      </w:tblPr>
      <w:tblGrid>
        <w:gridCol w:w="1960"/>
        <w:gridCol w:w="1560"/>
        <w:gridCol w:w="1200"/>
        <w:gridCol w:w="1200"/>
        <w:gridCol w:w="1200"/>
      </w:tblGrid>
      <w:tr w:rsidR="00333C16" w:rsidRPr="00333C16" w:rsidTr="00333C16">
        <w:trPr>
          <w:trHeight w:val="270"/>
          <w:jc w:val="center"/>
        </w:trPr>
        <w:tc>
          <w:tcPr>
            <w:tcW w:w="1960" w:type="dxa"/>
            <w:tcBorders>
              <w:top w:val="nil"/>
              <w:left w:val="nil"/>
              <w:bottom w:val="nil"/>
              <w:right w:val="nil"/>
            </w:tcBorders>
            <w:shd w:val="clear" w:color="auto" w:fill="auto"/>
            <w:noWrap/>
            <w:vAlign w:val="bottom"/>
            <w:hideMark/>
          </w:tcPr>
          <w:p w:rsidR="00333C16" w:rsidRPr="00333C16" w:rsidRDefault="00333C16" w:rsidP="00333C16">
            <w:pPr>
              <w:spacing w:after="0"/>
              <w:jc w:val="left"/>
              <w:rPr>
                <w:rFonts w:ascii="Times New Roman" w:eastAsia="Times New Roman" w:hAnsi="Times New Roman" w:cs="Times New Roman"/>
                <w:sz w:val="24"/>
                <w:szCs w:val="24"/>
                <w:lang w:eastAsia="es-ES"/>
              </w:rPr>
            </w:pPr>
          </w:p>
        </w:tc>
        <w:tc>
          <w:tcPr>
            <w:tcW w:w="1560" w:type="dxa"/>
            <w:tcBorders>
              <w:top w:val="nil"/>
              <w:left w:val="nil"/>
              <w:bottom w:val="nil"/>
              <w:right w:val="nil"/>
            </w:tcBorders>
            <w:shd w:val="clear" w:color="auto" w:fill="auto"/>
            <w:noWrap/>
            <w:vAlign w:val="bottom"/>
            <w:hideMark/>
          </w:tcPr>
          <w:p w:rsidR="00333C16" w:rsidRPr="00333C16" w:rsidRDefault="00333C16" w:rsidP="00333C16">
            <w:pPr>
              <w:spacing w:after="0"/>
              <w:jc w:val="left"/>
              <w:rPr>
                <w:rFonts w:ascii="Times New Roman" w:eastAsia="Times New Roman" w:hAnsi="Times New Roman" w:cs="Times New Roman"/>
                <w:sz w:val="20"/>
                <w:szCs w:val="20"/>
                <w:lang w:eastAsia="es-ES"/>
              </w:rPr>
            </w:pPr>
          </w:p>
        </w:tc>
        <w:tc>
          <w:tcPr>
            <w:tcW w:w="1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33C16" w:rsidRPr="00333C16" w:rsidRDefault="00333C16" w:rsidP="00333C16">
            <w:pPr>
              <w:spacing w:after="0"/>
              <w:jc w:val="center"/>
              <w:rPr>
                <w:rFonts w:ascii="Calibri" w:eastAsia="Times New Roman" w:hAnsi="Calibri" w:cs="Calibri"/>
                <w:b/>
                <w:bCs/>
                <w:color w:val="000000"/>
                <w:sz w:val="20"/>
                <w:szCs w:val="20"/>
                <w:lang w:eastAsia="es-ES"/>
              </w:rPr>
            </w:pPr>
            <w:r w:rsidRPr="00333C16">
              <w:rPr>
                <w:rFonts w:ascii="Calibri" w:eastAsia="Times New Roman" w:hAnsi="Calibri" w:cs="Calibri"/>
                <w:b/>
                <w:bCs/>
                <w:color w:val="000000"/>
                <w:sz w:val="20"/>
                <w:szCs w:val="20"/>
                <w:lang w:eastAsia="es-ES"/>
              </w:rPr>
              <w:t>2009</w:t>
            </w:r>
          </w:p>
        </w:tc>
        <w:tc>
          <w:tcPr>
            <w:tcW w:w="1200" w:type="dxa"/>
            <w:tcBorders>
              <w:top w:val="single" w:sz="8" w:space="0" w:color="auto"/>
              <w:left w:val="nil"/>
              <w:bottom w:val="single" w:sz="8" w:space="0" w:color="auto"/>
              <w:right w:val="single" w:sz="4" w:space="0" w:color="auto"/>
            </w:tcBorders>
            <w:shd w:val="clear" w:color="auto" w:fill="auto"/>
            <w:noWrap/>
            <w:vAlign w:val="center"/>
            <w:hideMark/>
          </w:tcPr>
          <w:p w:rsidR="00333C16" w:rsidRPr="00333C16" w:rsidRDefault="00333C16" w:rsidP="00333C16">
            <w:pPr>
              <w:spacing w:after="0"/>
              <w:jc w:val="center"/>
              <w:rPr>
                <w:rFonts w:ascii="Calibri" w:eastAsia="Times New Roman" w:hAnsi="Calibri" w:cs="Calibri"/>
                <w:b/>
                <w:bCs/>
                <w:color w:val="000000"/>
                <w:sz w:val="20"/>
                <w:szCs w:val="20"/>
                <w:lang w:eastAsia="es-ES"/>
              </w:rPr>
            </w:pPr>
            <w:r w:rsidRPr="00333C16">
              <w:rPr>
                <w:rFonts w:ascii="Calibri" w:eastAsia="Times New Roman" w:hAnsi="Calibri" w:cs="Calibri"/>
                <w:b/>
                <w:bCs/>
                <w:color w:val="000000"/>
                <w:sz w:val="20"/>
                <w:szCs w:val="20"/>
                <w:lang w:eastAsia="es-ES"/>
              </w:rPr>
              <w:t>2010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333C16" w:rsidRPr="00333C16" w:rsidRDefault="00333C16" w:rsidP="00333C16">
            <w:pPr>
              <w:spacing w:after="0"/>
              <w:jc w:val="center"/>
              <w:rPr>
                <w:rFonts w:ascii="Calibri" w:eastAsia="Times New Roman" w:hAnsi="Calibri" w:cs="Calibri"/>
                <w:b/>
                <w:bCs/>
                <w:color w:val="000000"/>
                <w:sz w:val="20"/>
                <w:szCs w:val="20"/>
                <w:lang w:eastAsia="es-ES"/>
              </w:rPr>
            </w:pPr>
            <w:r w:rsidRPr="00333C16">
              <w:rPr>
                <w:rFonts w:ascii="Calibri" w:eastAsia="Times New Roman" w:hAnsi="Calibri" w:cs="Calibri"/>
                <w:b/>
                <w:bCs/>
                <w:color w:val="000000"/>
                <w:sz w:val="20"/>
                <w:szCs w:val="20"/>
                <w:lang w:eastAsia="es-ES"/>
              </w:rPr>
              <w:t>2015-2016</w:t>
            </w:r>
          </w:p>
        </w:tc>
      </w:tr>
      <w:tr w:rsidR="00333C16" w:rsidRPr="00333C16" w:rsidTr="00333C16">
        <w:trPr>
          <w:trHeight w:val="525"/>
          <w:jc w:val="center"/>
        </w:trPr>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33C16" w:rsidRPr="00333C16" w:rsidRDefault="00333C16" w:rsidP="00333C16">
            <w:pPr>
              <w:spacing w:after="0"/>
              <w:jc w:val="center"/>
              <w:rPr>
                <w:rFonts w:ascii="Calibri" w:eastAsia="Times New Roman" w:hAnsi="Calibri" w:cs="Calibri"/>
                <w:b/>
                <w:bCs/>
                <w:color w:val="000000"/>
                <w:sz w:val="20"/>
                <w:szCs w:val="20"/>
                <w:lang w:eastAsia="es-ES"/>
              </w:rPr>
            </w:pPr>
            <w:r w:rsidRPr="00333C16">
              <w:rPr>
                <w:rFonts w:ascii="Calibri" w:eastAsia="Times New Roman" w:hAnsi="Calibri" w:cs="Calibri"/>
                <w:b/>
                <w:bCs/>
                <w:color w:val="000000"/>
                <w:sz w:val="20"/>
                <w:szCs w:val="20"/>
                <w:lang w:eastAsia="es-ES"/>
              </w:rPr>
              <w:t>FONDO DE COMERCIO</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333C16" w:rsidRPr="00333C16" w:rsidRDefault="00333C16" w:rsidP="00333C16">
            <w:pPr>
              <w:spacing w:after="0"/>
              <w:jc w:val="center"/>
              <w:rPr>
                <w:rFonts w:ascii="Calibri" w:eastAsia="Times New Roman" w:hAnsi="Calibri" w:cs="Calibri"/>
                <w:b/>
                <w:bCs/>
                <w:i/>
                <w:iCs/>
                <w:color w:val="000000"/>
                <w:sz w:val="20"/>
                <w:szCs w:val="20"/>
                <w:lang w:eastAsia="es-ES"/>
              </w:rPr>
            </w:pPr>
            <w:r w:rsidRPr="00333C16">
              <w:rPr>
                <w:rFonts w:ascii="Calibri" w:eastAsia="Times New Roman" w:hAnsi="Calibri" w:cs="Calibri"/>
                <w:b/>
                <w:bCs/>
                <w:i/>
                <w:iCs/>
                <w:color w:val="000000"/>
                <w:sz w:val="20"/>
                <w:szCs w:val="20"/>
                <w:lang w:eastAsia="es-ES"/>
              </w:rPr>
              <w:t>CRITERIOS DE VALORACIÓN</w:t>
            </w:r>
          </w:p>
        </w:tc>
        <w:tc>
          <w:tcPr>
            <w:tcW w:w="1200" w:type="dxa"/>
            <w:tcBorders>
              <w:top w:val="single" w:sz="8" w:space="0" w:color="auto"/>
              <w:left w:val="nil"/>
              <w:bottom w:val="single" w:sz="8" w:space="0" w:color="auto"/>
              <w:right w:val="single" w:sz="8" w:space="0" w:color="auto"/>
            </w:tcBorders>
            <w:shd w:val="clear" w:color="000000" w:fill="86C97E"/>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73,30%</w:t>
            </w:r>
          </w:p>
        </w:tc>
        <w:tc>
          <w:tcPr>
            <w:tcW w:w="1200" w:type="dxa"/>
            <w:tcBorders>
              <w:top w:val="single" w:sz="8" w:space="0" w:color="auto"/>
              <w:left w:val="nil"/>
              <w:bottom w:val="single" w:sz="8" w:space="0" w:color="auto"/>
              <w:right w:val="single" w:sz="8" w:space="0" w:color="auto"/>
            </w:tcBorders>
            <w:shd w:val="clear" w:color="000000" w:fill="75C37C"/>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76,67%</w:t>
            </w:r>
          </w:p>
        </w:tc>
        <w:tc>
          <w:tcPr>
            <w:tcW w:w="1200" w:type="dxa"/>
            <w:tcBorders>
              <w:top w:val="single" w:sz="8" w:space="0" w:color="auto"/>
              <w:left w:val="nil"/>
              <w:bottom w:val="single" w:sz="8" w:space="0" w:color="auto"/>
              <w:right w:val="single" w:sz="8" w:space="0" w:color="auto"/>
            </w:tcBorders>
            <w:shd w:val="clear" w:color="000000" w:fill="63BE7B"/>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80%</w:t>
            </w:r>
          </w:p>
        </w:tc>
      </w:tr>
      <w:tr w:rsidR="00333C16" w:rsidRPr="00333C16" w:rsidTr="00333C16">
        <w:trPr>
          <w:trHeight w:val="270"/>
          <w:jc w:val="center"/>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333C16" w:rsidRPr="00333C16" w:rsidRDefault="00333C16" w:rsidP="00333C16">
            <w:pPr>
              <w:spacing w:after="0"/>
              <w:jc w:val="left"/>
              <w:rPr>
                <w:rFonts w:ascii="Calibri" w:eastAsia="Times New Roman" w:hAnsi="Calibri" w:cs="Calibri"/>
                <w:b/>
                <w:bCs/>
                <w:color w:val="000000"/>
                <w:sz w:val="20"/>
                <w:szCs w:val="20"/>
                <w:lang w:eastAsia="es-ES"/>
              </w:rPr>
            </w:pPr>
          </w:p>
        </w:tc>
        <w:tc>
          <w:tcPr>
            <w:tcW w:w="1560" w:type="dxa"/>
            <w:tcBorders>
              <w:top w:val="nil"/>
              <w:left w:val="nil"/>
              <w:bottom w:val="single" w:sz="8" w:space="0" w:color="auto"/>
              <w:right w:val="single" w:sz="8" w:space="0" w:color="auto"/>
            </w:tcBorders>
            <w:shd w:val="clear" w:color="auto" w:fill="auto"/>
            <w:vAlign w:val="center"/>
            <w:hideMark/>
          </w:tcPr>
          <w:p w:rsidR="00333C16" w:rsidRPr="00333C16" w:rsidRDefault="00333C16" w:rsidP="00333C16">
            <w:pPr>
              <w:spacing w:after="0"/>
              <w:jc w:val="center"/>
              <w:rPr>
                <w:rFonts w:ascii="Calibri" w:eastAsia="Times New Roman" w:hAnsi="Calibri" w:cs="Calibri"/>
                <w:b/>
                <w:bCs/>
                <w:i/>
                <w:iCs/>
                <w:color w:val="000000"/>
                <w:sz w:val="20"/>
                <w:szCs w:val="20"/>
                <w:lang w:eastAsia="es-ES"/>
              </w:rPr>
            </w:pPr>
            <w:r w:rsidRPr="00333C16">
              <w:rPr>
                <w:rFonts w:ascii="Calibri" w:eastAsia="Times New Roman" w:hAnsi="Calibri" w:cs="Calibri"/>
                <w:b/>
                <w:bCs/>
                <w:i/>
                <w:iCs/>
                <w:color w:val="000000"/>
                <w:sz w:val="20"/>
                <w:szCs w:val="20"/>
                <w:lang w:eastAsia="es-ES"/>
              </w:rPr>
              <w:t>TEST DETERIORO</w:t>
            </w:r>
          </w:p>
        </w:tc>
        <w:tc>
          <w:tcPr>
            <w:tcW w:w="1200" w:type="dxa"/>
            <w:tcBorders>
              <w:top w:val="nil"/>
              <w:left w:val="nil"/>
              <w:bottom w:val="single" w:sz="8" w:space="0" w:color="auto"/>
              <w:right w:val="single" w:sz="8" w:space="0" w:color="auto"/>
            </w:tcBorders>
            <w:shd w:val="clear" w:color="000000" w:fill="86C97E"/>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73,30%</w:t>
            </w:r>
          </w:p>
        </w:tc>
        <w:tc>
          <w:tcPr>
            <w:tcW w:w="1200" w:type="dxa"/>
            <w:tcBorders>
              <w:top w:val="nil"/>
              <w:left w:val="nil"/>
              <w:bottom w:val="single" w:sz="8" w:space="0" w:color="auto"/>
              <w:right w:val="single" w:sz="8" w:space="0" w:color="auto"/>
            </w:tcBorders>
            <w:shd w:val="clear" w:color="000000" w:fill="75C37C"/>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76,67%</w:t>
            </w:r>
          </w:p>
        </w:tc>
        <w:tc>
          <w:tcPr>
            <w:tcW w:w="1200" w:type="dxa"/>
            <w:tcBorders>
              <w:top w:val="nil"/>
              <w:left w:val="nil"/>
              <w:bottom w:val="single" w:sz="8" w:space="0" w:color="auto"/>
              <w:right w:val="single" w:sz="8" w:space="0" w:color="auto"/>
            </w:tcBorders>
            <w:shd w:val="clear" w:color="000000" w:fill="73C37C"/>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77%</w:t>
            </w:r>
          </w:p>
        </w:tc>
      </w:tr>
      <w:tr w:rsidR="00333C16" w:rsidRPr="00333C16" w:rsidTr="00333C16">
        <w:trPr>
          <w:trHeight w:val="1290"/>
          <w:jc w:val="center"/>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333C16" w:rsidRPr="00333C16" w:rsidRDefault="00333C16" w:rsidP="00333C16">
            <w:pPr>
              <w:spacing w:after="0"/>
              <w:jc w:val="left"/>
              <w:rPr>
                <w:rFonts w:ascii="Calibri" w:eastAsia="Times New Roman" w:hAnsi="Calibri" w:cs="Calibri"/>
                <w:b/>
                <w:bCs/>
                <w:color w:val="000000"/>
                <w:sz w:val="20"/>
                <w:szCs w:val="20"/>
                <w:lang w:eastAsia="es-ES"/>
              </w:rPr>
            </w:pPr>
          </w:p>
        </w:tc>
        <w:tc>
          <w:tcPr>
            <w:tcW w:w="1560" w:type="dxa"/>
            <w:tcBorders>
              <w:top w:val="nil"/>
              <w:left w:val="nil"/>
              <w:bottom w:val="single" w:sz="8" w:space="0" w:color="auto"/>
              <w:right w:val="single" w:sz="8" w:space="0" w:color="auto"/>
            </w:tcBorders>
            <w:shd w:val="clear" w:color="auto" w:fill="auto"/>
            <w:vAlign w:val="center"/>
            <w:hideMark/>
          </w:tcPr>
          <w:p w:rsidR="00333C16" w:rsidRPr="00333C16" w:rsidRDefault="00333C16" w:rsidP="00333C16">
            <w:pPr>
              <w:spacing w:after="0"/>
              <w:jc w:val="center"/>
              <w:rPr>
                <w:rFonts w:ascii="Calibri" w:eastAsia="Times New Roman" w:hAnsi="Calibri" w:cs="Calibri"/>
                <w:b/>
                <w:bCs/>
                <w:i/>
                <w:iCs/>
                <w:color w:val="000000"/>
                <w:sz w:val="20"/>
                <w:szCs w:val="20"/>
                <w:lang w:eastAsia="es-ES"/>
              </w:rPr>
            </w:pPr>
            <w:r w:rsidRPr="00333C16">
              <w:rPr>
                <w:rFonts w:ascii="Calibri" w:eastAsia="Times New Roman" w:hAnsi="Calibri" w:cs="Calibri"/>
                <w:b/>
                <w:bCs/>
                <w:i/>
                <w:iCs/>
                <w:color w:val="000000"/>
                <w:sz w:val="20"/>
                <w:szCs w:val="20"/>
                <w:lang w:eastAsia="es-ES"/>
              </w:rPr>
              <w:t>IMPORTE DEDUCIBLE FISCALMENTE (FONDO DE COMERCIO)</w:t>
            </w:r>
          </w:p>
        </w:tc>
        <w:tc>
          <w:tcPr>
            <w:tcW w:w="1200" w:type="dxa"/>
            <w:tcBorders>
              <w:top w:val="nil"/>
              <w:left w:val="nil"/>
              <w:bottom w:val="single" w:sz="8" w:space="0" w:color="auto"/>
              <w:right w:val="single" w:sz="8" w:space="0" w:color="auto"/>
            </w:tcBorders>
            <w:shd w:val="clear" w:color="000000" w:fill="FCBC7B"/>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33,30%</w:t>
            </w:r>
          </w:p>
        </w:tc>
        <w:tc>
          <w:tcPr>
            <w:tcW w:w="1200" w:type="dxa"/>
            <w:tcBorders>
              <w:top w:val="nil"/>
              <w:left w:val="nil"/>
              <w:bottom w:val="single" w:sz="8" w:space="0" w:color="auto"/>
              <w:right w:val="single" w:sz="8" w:space="0" w:color="auto"/>
            </w:tcBorders>
            <w:shd w:val="clear" w:color="000000" w:fill="FDC57C"/>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36,67%</w:t>
            </w:r>
          </w:p>
        </w:tc>
        <w:tc>
          <w:tcPr>
            <w:tcW w:w="1200" w:type="dxa"/>
            <w:tcBorders>
              <w:top w:val="nil"/>
              <w:left w:val="nil"/>
              <w:bottom w:val="single" w:sz="8" w:space="0" w:color="auto"/>
              <w:right w:val="single" w:sz="8" w:space="0" w:color="auto"/>
            </w:tcBorders>
            <w:shd w:val="clear" w:color="000000" w:fill="FDCF7E"/>
            <w:noWrap/>
            <w:vAlign w:val="center"/>
            <w:hideMark/>
          </w:tcPr>
          <w:p w:rsidR="00333C16" w:rsidRPr="00333C16" w:rsidRDefault="00333C16" w:rsidP="00333C16">
            <w:pPr>
              <w:spacing w:after="0"/>
              <w:jc w:val="center"/>
              <w:rPr>
                <w:rFonts w:ascii="Calibri" w:eastAsia="Times New Roman" w:hAnsi="Calibri" w:cs="Calibri"/>
                <w:color w:val="000000"/>
                <w:sz w:val="20"/>
                <w:szCs w:val="20"/>
                <w:lang w:eastAsia="es-ES"/>
              </w:rPr>
            </w:pPr>
            <w:r w:rsidRPr="00333C16">
              <w:rPr>
                <w:rFonts w:ascii="Calibri" w:eastAsia="Times New Roman" w:hAnsi="Calibri" w:cs="Calibri"/>
                <w:color w:val="000000"/>
                <w:sz w:val="20"/>
                <w:szCs w:val="20"/>
                <w:lang w:eastAsia="es-ES"/>
              </w:rPr>
              <w:t>40%</w:t>
            </w:r>
          </w:p>
        </w:tc>
      </w:tr>
    </w:tbl>
    <w:p w:rsidR="008F6958" w:rsidRDefault="008F6958" w:rsidP="008F6958">
      <w:pPr>
        <w:rPr>
          <w:rFonts w:ascii="Arial" w:hAnsi="Arial" w:cs="Arial"/>
        </w:rPr>
      </w:pPr>
    </w:p>
    <w:p w:rsidR="008E6F1A" w:rsidRDefault="008F6958" w:rsidP="008F6958">
      <w:pPr>
        <w:rPr>
          <w:rFonts w:ascii="Arial" w:hAnsi="Arial" w:cs="Arial"/>
        </w:rPr>
      </w:pPr>
      <w:r>
        <w:rPr>
          <w:rFonts w:ascii="Arial" w:hAnsi="Arial" w:cs="Arial"/>
        </w:rPr>
        <w:t>El fondo de comercio, es una de las características más importantes en las combinaciones de negocio, entre las empresas analizadas el 100% de las cooperativas que han publicado información relativa a los criterios y la valoración del fondo de comercio ha indicado las razones que llevan a la entidad a realizar los test de deterioro, el porcentaje de entidades que ha publicado la información citada fue el 73,3% en 2009, que se incrementó hasta el 76% en 2010, y finalmente se estabilizó en un 80% en el último periodo económico en el caso de la valoración del fondo de comercio, y el 77% en la mención a los test de deterioro realizados</w:t>
      </w:r>
      <w:r w:rsidR="008E6F1A">
        <w:rPr>
          <w:rFonts w:ascii="Arial" w:hAnsi="Arial" w:cs="Arial"/>
        </w:rPr>
        <w:t>.</w:t>
      </w:r>
    </w:p>
    <w:p w:rsidR="006E0D42" w:rsidRDefault="006E0D42" w:rsidP="008F6958">
      <w:pPr>
        <w:rPr>
          <w:rFonts w:ascii="Arial" w:hAnsi="Arial" w:cs="Arial"/>
        </w:rPr>
      </w:pPr>
    </w:p>
    <w:p w:rsidR="008E6F1A" w:rsidRDefault="008E6F1A" w:rsidP="008F6958">
      <w:pPr>
        <w:rPr>
          <w:rFonts w:ascii="Arial" w:hAnsi="Arial" w:cs="Arial"/>
        </w:rPr>
      </w:pPr>
      <w:r>
        <w:rPr>
          <w:rFonts w:ascii="Arial" w:hAnsi="Arial" w:cs="Arial"/>
        </w:rPr>
        <w:t xml:space="preserve">Continuando el análisis con los </w:t>
      </w:r>
      <w:r w:rsidRPr="008E6F1A">
        <w:rPr>
          <w:rFonts w:ascii="Arial" w:hAnsi="Arial" w:cs="Arial"/>
          <w:b/>
        </w:rPr>
        <w:t>ítems menos divulgados</w:t>
      </w:r>
      <w:r>
        <w:rPr>
          <w:rFonts w:ascii="Arial" w:hAnsi="Arial" w:cs="Arial"/>
        </w:rPr>
        <w:t>:</w:t>
      </w:r>
    </w:p>
    <w:tbl>
      <w:tblPr>
        <w:tblW w:w="7120" w:type="dxa"/>
        <w:jc w:val="center"/>
        <w:tblCellMar>
          <w:left w:w="70" w:type="dxa"/>
          <w:right w:w="70" w:type="dxa"/>
        </w:tblCellMar>
        <w:tblLook w:val="04A0" w:firstRow="1" w:lastRow="0" w:firstColumn="1" w:lastColumn="0" w:noHBand="0" w:noVBand="1"/>
      </w:tblPr>
      <w:tblGrid>
        <w:gridCol w:w="1960"/>
        <w:gridCol w:w="1560"/>
        <w:gridCol w:w="1200"/>
        <w:gridCol w:w="1200"/>
        <w:gridCol w:w="1200"/>
      </w:tblGrid>
      <w:tr w:rsidR="008E6F1A" w:rsidRPr="008E6F1A" w:rsidTr="008E6F1A">
        <w:trPr>
          <w:trHeight w:val="270"/>
          <w:jc w:val="center"/>
        </w:trPr>
        <w:tc>
          <w:tcPr>
            <w:tcW w:w="1960" w:type="dxa"/>
            <w:tcBorders>
              <w:top w:val="nil"/>
              <w:left w:val="nil"/>
              <w:bottom w:val="nil"/>
              <w:right w:val="nil"/>
            </w:tcBorders>
            <w:shd w:val="clear" w:color="auto" w:fill="auto"/>
            <w:noWrap/>
            <w:vAlign w:val="center"/>
            <w:hideMark/>
          </w:tcPr>
          <w:p w:rsidR="008E6F1A" w:rsidRPr="008E6F1A" w:rsidRDefault="008E6F1A" w:rsidP="008E6F1A">
            <w:pPr>
              <w:spacing w:after="0"/>
              <w:jc w:val="left"/>
              <w:rPr>
                <w:rFonts w:ascii="Times New Roman" w:eastAsia="Times New Roman" w:hAnsi="Times New Roman" w:cs="Times New Roman"/>
                <w:sz w:val="24"/>
                <w:szCs w:val="24"/>
                <w:lang w:eastAsia="es-ES"/>
              </w:rPr>
            </w:pPr>
          </w:p>
        </w:tc>
        <w:tc>
          <w:tcPr>
            <w:tcW w:w="1560" w:type="dxa"/>
            <w:tcBorders>
              <w:top w:val="nil"/>
              <w:left w:val="nil"/>
              <w:bottom w:val="nil"/>
              <w:right w:val="nil"/>
            </w:tcBorders>
            <w:shd w:val="clear" w:color="auto" w:fill="auto"/>
            <w:noWrap/>
            <w:vAlign w:val="center"/>
            <w:hideMark/>
          </w:tcPr>
          <w:p w:rsidR="008E6F1A" w:rsidRPr="008E6F1A" w:rsidRDefault="008E6F1A" w:rsidP="008E6F1A">
            <w:pPr>
              <w:spacing w:after="0"/>
              <w:jc w:val="left"/>
              <w:rPr>
                <w:rFonts w:ascii="Times New Roman" w:eastAsia="Times New Roman" w:hAnsi="Times New Roman" w:cs="Times New Roman"/>
                <w:sz w:val="20"/>
                <w:szCs w:val="20"/>
                <w:lang w:eastAsia="es-ES"/>
              </w:rPr>
            </w:pP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2009</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2010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2015-2016</w:t>
            </w:r>
          </w:p>
        </w:tc>
      </w:tr>
      <w:tr w:rsidR="008E6F1A" w:rsidRPr="008E6F1A" w:rsidTr="008E6F1A">
        <w:trPr>
          <w:trHeight w:val="345"/>
          <w:jc w:val="center"/>
        </w:trPr>
        <w:tc>
          <w:tcPr>
            <w:tcW w:w="1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VALOR RAZONABLE DE LA CONTRAPRESTACIÓN</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i/>
                <w:iCs/>
                <w:color w:val="000000"/>
                <w:sz w:val="20"/>
                <w:szCs w:val="20"/>
                <w:lang w:eastAsia="es-ES"/>
              </w:rPr>
            </w:pPr>
            <w:r w:rsidRPr="008E6F1A">
              <w:rPr>
                <w:rFonts w:ascii="Calibri" w:eastAsia="Times New Roman" w:hAnsi="Calibri" w:cs="Calibri"/>
                <w:b/>
                <w:bCs/>
                <w:i/>
                <w:iCs/>
                <w:color w:val="000000"/>
                <w:sz w:val="20"/>
                <w:szCs w:val="20"/>
                <w:lang w:eastAsia="es-ES"/>
              </w:rPr>
              <w:t>GENERAL</w:t>
            </w:r>
          </w:p>
        </w:tc>
        <w:tc>
          <w:tcPr>
            <w:tcW w:w="1200" w:type="dxa"/>
            <w:tcBorders>
              <w:top w:val="nil"/>
              <w:left w:val="single" w:sz="8" w:space="0" w:color="auto"/>
              <w:bottom w:val="single" w:sz="8" w:space="0" w:color="auto"/>
              <w:right w:val="single" w:sz="8" w:space="0" w:color="auto"/>
            </w:tcBorders>
            <w:shd w:val="clear" w:color="000000" w:fill="FDD880"/>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43,30%</w:t>
            </w:r>
          </w:p>
        </w:tc>
        <w:tc>
          <w:tcPr>
            <w:tcW w:w="1200" w:type="dxa"/>
            <w:tcBorders>
              <w:top w:val="nil"/>
              <w:left w:val="single" w:sz="8" w:space="0" w:color="auto"/>
              <w:bottom w:val="single" w:sz="8" w:space="0" w:color="auto"/>
              <w:right w:val="single" w:sz="8" w:space="0" w:color="auto"/>
            </w:tcBorders>
            <w:shd w:val="clear" w:color="000000" w:fill="FFEB84"/>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50,00%</w:t>
            </w:r>
          </w:p>
        </w:tc>
        <w:tc>
          <w:tcPr>
            <w:tcW w:w="1200" w:type="dxa"/>
            <w:tcBorders>
              <w:top w:val="nil"/>
              <w:left w:val="nil"/>
              <w:bottom w:val="single" w:sz="8" w:space="0" w:color="auto"/>
              <w:right w:val="single" w:sz="8" w:space="0" w:color="auto"/>
            </w:tcBorders>
            <w:shd w:val="clear" w:color="000000" w:fill="FFEB84"/>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50%</w:t>
            </w:r>
          </w:p>
        </w:tc>
      </w:tr>
      <w:tr w:rsidR="008E6F1A" w:rsidRPr="008E6F1A" w:rsidTr="008E6F1A">
        <w:trPr>
          <w:trHeight w:val="870"/>
          <w:jc w:val="center"/>
        </w:trPr>
        <w:tc>
          <w:tcPr>
            <w:tcW w:w="1960" w:type="dxa"/>
            <w:vMerge/>
            <w:tcBorders>
              <w:top w:val="single" w:sz="8" w:space="0" w:color="auto"/>
              <w:left w:val="single" w:sz="8" w:space="0" w:color="auto"/>
              <w:bottom w:val="single" w:sz="8" w:space="0" w:color="000000"/>
              <w:right w:val="single" w:sz="8" w:space="0" w:color="auto"/>
            </w:tcBorders>
            <w:vAlign w:val="center"/>
            <w:hideMark/>
          </w:tcPr>
          <w:p w:rsidR="008E6F1A" w:rsidRPr="008E6F1A" w:rsidRDefault="008E6F1A" w:rsidP="008E6F1A">
            <w:pPr>
              <w:spacing w:after="0"/>
              <w:jc w:val="left"/>
              <w:rPr>
                <w:rFonts w:ascii="Calibri" w:eastAsia="Times New Roman" w:hAnsi="Calibri" w:cs="Calibri"/>
                <w:b/>
                <w:bCs/>
                <w:color w:val="000000"/>
                <w:sz w:val="20"/>
                <w:szCs w:val="20"/>
                <w:lang w:eastAsia="es-ES"/>
              </w:rPr>
            </w:pPr>
          </w:p>
        </w:tc>
        <w:tc>
          <w:tcPr>
            <w:tcW w:w="1560" w:type="dxa"/>
            <w:tcBorders>
              <w:top w:val="nil"/>
              <w:left w:val="nil"/>
              <w:bottom w:val="single" w:sz="8" w:space="0" w:color="auto"/>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i/>
                <w:iCs/>
                <w:color w:val="000000"/>
                <w:sz w:val="20"/>
                <w:szCs w:val="20"/>
                <w:lang w:eastAsia="es-ES"/>
              </w:rPr>
            </w:pPr>
            <w:r w:rsidRPr="008E6F1A">
              <w:rPr>
                <w:rFonts w:ascii="Calibri" w:eastAsia="Times New Roman" w:hAnsi="Calibri" w:cs="Calibri"/>
                <w:b/>
                <w:bCs/>
                <w:i/>
                <w:iCs/>
                <w:color w:val="000000"/>
                <w:sz w:val="20"/>
                <w:szCs w:val="20"/>
                <w:lang w:eastAsia="es-ES"/>
              </w:rPr>
              <w:t>DESGLOSADA</w:t>
            </w:r>
          </w:p>
        </w:tc>
        <w:tc>
          <w:tcPr>
            <w:tcW w:w="1200" w:type="dxa"/>
            <w:tcBorders>
              <w:top w:val="nil"/>
              <w:left w:val="single" w:sz="8" w:space="0" w:color="auto"/>
              <w:bottom w:val="single" w:sz="8" w:space="0" w:color="auto"/>
              <w:right w:val="single" w:sz="8" w:space="0" w:color="auto"/>
            </w:tcBorders>
            <w:shd w:val="clear" w:color="000000" w:fill="FBAA77"/>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26,70%</w:t>
            </w:r>
          </w:p>
        </w:tc>
        <w:tc>
          <w:tcPr>
            <w:tcW w:w="1200" w:type="dxa"/>
            <w:tcBorders>
              <w:top w:val="nil"/>
              <w:left w:val="single" w:sz="8" w:space="0" w:color="auto"/>
              <w:bottom w:val="single" w:sz="8" w:space="0" w:color="auto"/>
              <w:right w:val="single" w:sz="8" w:space="0" w:color="auto"/>
            </w:tcBorders>
            <w:shd w:val="clear" w:color="000000" w:fill="FCB379"/>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30,00%</w:t>
            </w:r>
          </w:p>
        </w:tc>
        <w:tc>
          <w:tcPr>
            <w:tcW w:w="1200" w:type="dxa"/>
            <w:tcBorders>
              <w:top w:val="nil"/>
              <w:left w:val="nil"/>
              <w:bottom w:val="single" w:sz="8" w:space="0" w:color="auto"/>
              <w:right w:val="single" w:sz="8" w:space="0" w:color="auto"/>
            </w:tcBorders>
            <w:shd w:val="clear" w:color="000000" w:fill="FDC67D"/>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37%</w:t>
            </w:r>
          </w:p>
        </w:tc>
      </w:tr>
      <w:tr w:rsidR="008E6F1A" w:rsidRPr="008E6F1A" w:rsidTr="008E6F1A">
        <w:trPr>
          <w:trHeight w:val="645"/>
          <w:jc w:val="center"/>
        </w:trPr>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VALOR RAZONABLE DE LAS CUENTAS A COBRAR ADQUIRIDAS</w:t>
            </w:r>
          </w:p>
        </w:tc>
        <w:tc>
          <w:tcPr>
            <w:tcW w:w="1560" w:type="dxa"/>
            <w:tcBorders>
              <w:top w:val="nil"/>
              <w:left w:val="nil"/>
              <w:bottom w:val="single" w:sz="8" w:space="0" w:color="auto"/>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i/>
                <w:iCs/>
                <w:color w:val="000000"/>
                <w:sz w:val="20"/>
                <w:szCs w:val="20"/>
                <w:lang w:eastAsia="es-ES"/>
              </w:rPr>
            </w:pPr>
            <w:r w:rsidRPr="008E6F1A">
              <w:rPr>
                <w:rFonts w:ascii="Calibri" w:eastAsia="Times New Roman" w:hAnsi="Calibri" w:cs="Calibri"/>
                <w:b/>
                <w:bCs/>
                <w:i/>
                <w:iCs/>
                <w:color w:val="000000"/>
                <w:sz w:val="20"/>
                <w:szCs w:val="20"/>
                <w:lang w:eastAsia="es-ES"/>
              </w:rPr>
              <w:t>GENERAL</w:t>
            </w:r>
          </w:p>
        </w:tc>
        <w:tc>
          <w:tcPr>
            <w:tcW w:w="1200" w:type="dxa"/>
            <w:tcBorders>
              <w:top w:val="nil"/>
              <w:left w:val="single" w:sz="8" w:space="0" w:color="auto"/>
              <w:bottom w:val="single" w:sz="8" w:space="0" w:color="auto"/>
              <w:right w:val="single" w:sz="8" w:space="0" w:color="auto"/>
            </w:tcBorders>
            <w:shd w:val="clear" w:color="000000" w:fill="DDE182"/>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56,70%</w:t>
            </w:r>
          </w:p>
        </w:tc>
        <w:tc>
          <w:tcPr>
            <w:tcW w:w="1200" w:type="dxa"/>
            <w:tcBorders>
              <w:top w:val="nil"/>
              <w:left w:val="single" w:sz="8" w:space="0" w:color="auto"/>
              <w:bottom w:val="single" w:sz="8" w:space="0" w:color="auto"/>
              <w:right w:val="single" w:sz="8" w:space="0" w:color="auto"/>
            </w:tcBorders>
            <w:shd w:val="clear" w:color="000000" w:fill="CCDD82"/>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60,00%</w:t>
            </w:r>
          </w:p>
        </w:tc>
        <w:tc>
          <w:tcPr>
            <w:tcW w:w="1200" w:type="dxa"/>
            <w:tcBorders>
              <w:top w:val="nil"/>
              <w:left w:val="nil"/>
              <w:bottom w:val="single" w:sz="8" w:space="0" w:color="auto"/>
              <w:right w:val="single" w:sz="8" w:space="0" w:color="auto"/>
            </w:tcBorders>
            <w:shd w:val="clear" w:color="000000" w:fill="BCD881"/>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63%</w:t>
            </w:r>
          </w:p>
        </w:tc>
      </w:tr>
      <w:tr w:rsidR="008E6F1A" w:rsidRPr="008E6F1A" w:rsidTr="008E6F1A">
        <w:trPr>
          <w:trHeight w:val="375"/>
          <w:jc w:val="center"/>
        </w:trPr>
        <w:tc>
          <w:tcPr>
            <w:tcW w:w="1960" w:type="dxa"/>
            <w:vMerge/>
            <w:tcBorders>
              <w:top w:val="nil"/>
              <w:left w:val="single" w:sz="8" w:space="0" w:color="auto"/>
              <w:bottom w:val="single" w:sz="8" w:space="0" w:color="000000"/>
              <w:right w:val="single" w:sz="8" w:space="0" w:color="auto"/>
            </w:tcBorders>
            <w:vAlign w:val="center"/>
            <w:hideMark/>
          </w:tcPr>
          <w:p w:rsidR="008E6F1A" w:rsidRPr="008E6F1A" w:rsidRDefault="008E6F1A" w:rsidP="008E6F1A">
            <w:pPr>
              <w:spacing w:after="0"/>
              <w:jc w:val="left"/>
              <w:rPr>
                <w:rFonts w:ascii="Calibri" w:eastAsia="Times New Roman" w:hAnsi="Calibri" w:cs="Calibri"/>
                <w:b/>
                <w:bCs/>
                <w:color w:val="000000"/>
                <w:sz w:val="20"/>
                <w:szCs w:val="20"/>
                <w:lang w:eastAsia="es-ES"/>
              </w:rPr>
            </w:pPr>
          </w:p>
        </w:tc>
        <w:tc>
          <w:tcPr>
            <w:tcW w:w="1560" w:type="dxa"/>
            <w:tcBorders>
              <w:top w:val="nil"/>
              <w:left w:val="nil"/>
              <w:bottom w:val="single" w:sz="8" w:space="0" w:color="auto"/>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i/>
                <w:iCs/>
                <w:color w:val="000000"/>
                <w:sz w:val="20"/>
                <w:szCs w:val="20"/>
                <w:lang w:eastAsia="es-ES"/>
              </w:rPr>
            </w:pPr>
            <w:r w:rsidRPr="008E6F1A">
              <w:rPr>
                <w:rFonts w:ascii="Calibri" w:eastAsia="Times New Roman" w:hAnsi="Calibri" w:cs="Calibri"/>
                <w:b/>
                <w:bCs/>
                <w:i/>
                <w:iCs/>
                <w:color w:val="000000"/>
                <w:sz w:val="20"/>
                <w:szCs w:val="20"/>
                <w:lang w:eastAsia="es-ES"/>
              </w:rPr>
              <w:t>DESGLOSADA</w:t>
            </w:r>
          </w:p>
        </w:tc>
        <w:tc>
          <w:tcPr>
            <w:tcW w:w="1200" w:type="dxa"/>
            <w:tcBorders>
              <w:top w:val="nil"/>
              <w:left w:val="single" w:sz="8" w:space="0" w:color="auto"/>
              <w:bottom w:val="single" w:sz="8" w:space="0" w:color="auto"/>
              <w:right w:val="single" w:sz="8" w:space="0" w:color="auto"/>
            </w:tcBorders>
            <w:shd w:val="clear" w:color="000000" w:fill="FCBC7B"/>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33,30%</w:t>
            </w:r>
          </w:p>
        </w:tc>
        <w:tc>
          <w:tcPr>
            <w:tcW w:w="1200" w:type="dxa"/>
            <w:tcBorders>
              <w:top w:val="nil"/>
              <w:left w:val="single" w:sz="8" w:space="0" w:color="auto"/>
              <w:bottom w:val="single" w:sz="8" w:space="0" w:color="auto"/>
              <w:right w:val="single" w:sz="8" w:space="0" w:color="auto"/>
            </w:tcBorders>
            <w:shd w:val="clear" w:color="000000" w:fill="FDCF7E"/>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40,00%</w:t>
            </w:r>
          </w:p>
        </w:tc>
        <w:tc>
          <w:tcPr>
            <w:tcW w:w="1200" w:type="dxa"/>
            <w:tcBorders>
              <w:top w:val="nil"/>
              <w:left w:val="nil"/>
              <w:bottom w:val="single" w:sz="8" w:space="0" w:color="auto"/>
              <w:right w:val="single" w:sz="8" w:space="0" w:color="auto"/>
            </w:tcBorders>
            <w:shd w:val="clear" w:color="000000" w:fill="F0E784"/>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53%</w:t>
            </w:r>
          </w:p>
        </w:tc>
      </w:tr>
      <w:tr w:rsidR="008E6F1A" w:rsidRPr="008E6F1A" w:rsidTr="008E6F1A">
        <w:trPr>
          <w:trHeight w:val="645"/>
          <w:jc w:val="center"/>
        </w:trPr>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INFORMACIÓN SOBRE ACTIVOS ADQUIRIDOS Y PASIVOS ASUMIDOS</w:t>
            </w:r>
          </w:p>
        </w:tc>
        <w:tc>
          <w:tcPr>
            <w:tcW w:w="1560" w:type="dxa"/>
            <w:tcBorders>
              <w:top w:val="nil"/>
              <w:left w:val="nil"/>
              <w:bottom w:val="single" w:sz="8" w:space="0" w:color="auto"/>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i/>
                <w:iCs/>
                <w:color w:val="000000"/>
                <w:sz w:val="20"/>
                <w:szCs w:val="20"/>
                <w:lang w:eastAsia="es-ES"/>
              </w:rPr>
            </w:pPr>
            <w:r w:rsidRPr="008E6F1A">
              <w:rPr>
                <w:rFonts w:ascii="Calibri" w:eastAsia="Times New Roman" w:hAnsi="Calibri" w:cs="Calibri"/>
                <w:b/>
                <w:bCs/>
                <w:i/>
                <w:iCs/>
                <w:color w:val="000000"/>
                <w:sz w:val="20"/>
                <w:szCs w:val="20"/>
                <w:lang w:eastAsia="es-ES"/>
              </w:rPr>
              <w:t>GENERAL</w:t>
            </w:r>
          </w:p>
        </w:tc>
        <w:tc>
          <w:tcPr>
            <w:tcW w:w="1200" w:type="dxa"/>
            <w:tcBorders>
              <w:top w:val="nil"/>
              <w:left w:val="single" w:sz="8" w:space="0" w:color="auto"/>
              <w:bottom w:val="single" w:sz="8" w:space="0" w:color="auto"/>
              <w:right w:val="single" w:sz="8" w:space="0" w:color="auto"/>
            </w:tcBorders>
            <w:shd w:val="clear" w:color="000000" w:fill="DDE182"/>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56,70%</w:t>
            </w:r>
          </w:p>
        </w:tc>
        <w:tc>
          <w:tcPr>
            <w:tcW w:w="1200" w:type="dxa"/>
            <w:tcBorders>
              <w:top w:val="nil"/>
              <w:left w:val="single" w:sz="8" w:space="0" w:color="auto"/>
              <w:bottom w:val="single" w:sz="8" w:space="0" w:color="auto"/>
              <w:right w:val="single" w:sz="8" w:space="0" w:color="auto"/>
            </w:tcBorders>
            <w:shd w:val="clear" w:color="000000" w:fill="CCDD82"/>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60,00%</w:t>
            </w:r>
          </w:p>
        </w:tc>
        <w:tc>
          <w:tcPr>
            <w:tcW w:w="1200" w:type="dxa"/>
            <w:tcBorders>
              <w:top w:val="nil"/>
              <w:left w:val="nil"/>
              <w:bottom w:val="single" w:sz="8" w:space="0" w:color="auto"/>
              <w:right w:val="single" w:sz="8" w:space="0" w:color="auto"/>
            </w:tcBorders>
            <w:shd w:val="clear" w:color="000000" w:fill="BCD881"/>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63%</w:t>
            </w:r>
          </w:p>
        </w:tc>
      </w:tr>
      <w:tr w:rsidR="008E6F1A" w:rsidRPr="008E6F1A" w:rsidTr="008E6F1A">
        <w:trPr>
          <w:trHeight w:val="270"/>
          <w:jc w:val="center"/>
        </w:trPr>
        <w:tc>
          <w:tcPr>
            <w:tcW w:w="1960" w:type="dxa"/>
            <w:vMerge/>
            <w:tcBorders>
              <w:top w:val="nil"/>
              <w:left w:val="single" w:sz="8" w:space="0" w:color="auto"/>
              <w:bottom w:val="single" w:sz="8" w:space="0" w:color="000000"/>
              <w:right w:val="single" w:sz="8" w:space="0" w:color="auto"/>
            </w:tcBorders>
            <w:vAlign w:val="center"/>
            <w:hideMark/>
          </w:tcPr>
          <w:p w:rsidR="008E6F1A" w:rsidRPr="008E6F1A" w:rsidRDefault="008E6F1A" w:rsidP="008E6F1A">
            <w:pPr>
              <w:spacing w:after="0"/>
              <w:jc w:val="left"/>
              <w:rPr>
                <w:rFonts w:ascii="Calibri" w:eastAsia="Times New Roman" w:hAnsi="Calibri" w:cs="Calibri"/>
                <w:b/>
                <w:bCs/>
                <w:color w:val="000000"/>
                <w:sz w:val="20"/>
                <w:szCs w:val="20"/>
                <w:lang w:eastAsia="es-ES"/>
              </w:rPr>
            </w:pPr>
          </w:p>
        </w:tc>
        <w:tc>
          <w:tcPr>
            <w:tcW w:w="1560" w:type="dxa"/>
            <w:tcBorders>
              <w:top w:val="nil"/>
              <w:left w:val="nil"/>
              <w:bottom w:val="single" w:sz="8" w:space="0" w:color="auto"/>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i/>
                <w:iCs/>
                <w:color w:val="000000"/>
                <w:sz w:val="20"/>
                <w:szCs w:val="20"/>
                <w:lang w:eastAsia="es-ES"/>
              </w:rPr>
            </w:pPr>
            <w:r w:rsidRPr="008E6F1A">
              <w:rPr>
                <w:rFonts w:ascii="Calibri" w:eastAsia="Times New Roman" w:hAnsi="Calibri" w:cs="Calibri"/>
                <w:b/>
                <w:bCs/>
                <w:i/>
                <w:iCs/>
                <w:color w:val="000000"/>
                <w:sz w:val="20"/>
                <w:szCs w:val="20"/>
                <w:lang w:eastAsia="es-ES"/>
              </w:rPr>
              <w:t>DESGLOSADA</w:t>
            </w:r>
          </w:p>
        </w:tc>
        <w:tc>
          <w:tcPr>
            <w:tcW w:w="1200" w:type="dxa"/>
            <w:tcBorders>
              <w:top w:val="nil"/>
              <w:left w:val="single" w:sz="8" w:space="0" w:color="auto"/>
              <w:bottom w:val="single" w:sz="8" w:space="0" w:color="auto"/>
              <w:right w:val="single" w:sz="8" w:space="0" w:color="auto"/>
            </w:tcBorders>
            <w:shd w:val="clear" w:color="000000" w:fill="FCB379"/>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30,00%</w:t>
            </w:r>
          </w:p>
        </w:tc>
        <w:tc>
          <w:tcPr>
            <w:tcW w:w="1200" w:type="dxa"/>
            <w:tcBorders>
              <w:top w:val="nil"/>
              <w:left w:val="single" w:sz="8" w:space="0" w:color="auto"/>
              <w:bottom w:val="single" w:sz="8" w:space="0" w:color="auto"/>
              <w:right w:val="single" w:sz="8" w:space="0" w:color="auto"/>
            </w:tcBorders>
            <w:shd w:val="clear" w:color="000000" w:fill="FDCF7E"/>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40,00%</w:t>
            </w:r>
          </w:p>
        </w:tc>
        <w:tc>
          <w:tcPr>
            <w:tcW w:w="1200" w:type="dxa"/>
            <w:tcBorders>
              <w:top w:val="nil"/>
              <w:left w:val="nil"/>
              <w:bottom w:val="single" w:sz="8" w:space="0" w:color="auto"/>
              <w:right w:val="single" w:sz="8" w:space="0" w:color="auto"/>
            </w:tcBorders>
            <w:shd w:val="clear" w:color="000000" w:fill="FEE282"/>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47%</w:t>
            </w:r>
          </w:p>
        </w:tc>
      </w:tr>
    </w:tbl>
    <w:p w:rsidR="008E6F1A" w:rsidRDefault="008E6F1A" w:rsidP="008F6958">
      <w:pPr>
        <w:rPr>
          <w:rFonts w:ascii="Arial" w:hAnsi="Arial"/>
        </w:rPr>
      </w:pPr>
    </w:p>
    <w:p w:rsidR="00626590" w:rsidRPr="00626590" w:rsidRDefault="00626590" w:rsidP="00626590">
      <w:pPr>
        <w:rPr>
          <w:rFonts w:ascii="Arial" w:hAnsi="Arial"/>
        </w:rPr>
      </w:pPr>
      <w:r w:rsidRPr="00626590">
        <w:rPr>
          <w:rFonts w:ascii="Arial" w:hAnsi="Arial"/>
        </w:rPr>
        <w:t>En este párrafo se analizarán los valores razonables sobre los que informa la sociedad cooperativa (Contraprestación, cuentas a cobrar y, activos y pasivos asumidos).</w:t>
      </w:r>
    </w:p>
    <w:p w:rsidR="00626590" w:rsidRPr="00626590" w:rsidRDefault="00626590" w:rsidP="00626590">
      <w:pPr>
        <w:rPr>
          <w:rFonts w:ascii="Arial" w:hAnsi="Arial"/>
        </w:rPr>
      </w:pPr>
      <w:r w:rsidRPr="00626590">
        <w:rPr>
          <w:rFonts w:ascii="Arial" w:hAnsi="Arial"/>
        </w:rPr>
        <w:t>En términos generales, estos ítems presentan poca divulgación, en la mayoría de casos se ha encontrado la información desestructurada y agregada, sin indicar los activos y pasivos asumidos en cada operación.</w:t>
      </w:r>
    </w:p>
    <w:p w:rsidR="00626590" w:rsidRPr="00626590" w:rsidRDefault="00626590" w:rsidP="00626590">
      <w:pPr>
        <w:rPr>
          <w:rFonts w:ascii="Arial" w:hAnsi="Arial"/>
        </w:rPr>
      </w:pPr>
      <w:r w:rsidRPr="00626590">
        <w:rPr>
          <w:rFonts w:ascii="Arial" w:hAnsi="Arial"/>
        </w:rPr>
        <w:t xml:space="preserve">Por lo tanto, destacamos que relativo al valor razonable de la contraprestación, en el 100% de los casos se ha indicado exclusivamente el importe desembolsado por la adquisición, en 2009 el 43% de las entidades presentaba información general sobre la misma y el 26% detallada, este coeficiente aumento hasta suponer el 50% de información general en 2010 y el 37% en el caso de la información desglosada, por último, en 2016 el porcentaje de entidades que publicaba información sobre la </w:t>
      </w:r>
      <w:r w:rsidRPr="00626590">
        <w:rPr>
          <w:rFonts w:ascii="Arial" w:hAnsi="Arial"/>
        </w:rPr>
        <w:lastRenderedPageBreak/>
        <w:t>contraprestación realizada a nivel general se mantuvo en el 50%, el 37% de las cuales presentaba la información desglosada.</w:t>
      </w:r>
    </w:p>
    <w:p w:rsidR="00626590" w:rsidRDefault="00626590" w:rsidP="00626590">
      <w:pPr>
        <w:rPr>
          <w:rFonts w:ascii="Arial" w:hAnsi="Arial"/>
        </w:rPr>
      </w:pPr>
      <w:r w:rsidRPr="00626590">
        <w:rPr>
          <w:rFonts w:ascii="Arial" w:hAnsi="Arial"/>
        </w:rPr>
        <w:t>La información publicada sobre las cuentas a cobrar adquiridas y, los activos y pasivos es muy similar, en 2009 el 56,7% indicaba información al respecto en términos generales y solo el 30% aproximadamente desglosaba la información, la publicación de estas partidas se incrementó hasta el 60% a nivel general y el 40% segregado. Hasta que, en el último periodo económico, suponían en el caso de las cuentas a cobrar el 63% a nivel general y 53% desglosado, y sobre los activos y pasivos adquiridos el 63% y 47% respectivamente.</w:t>
      </w:r>
    </w:p>
    <w:p w:rsidR="008E6F1A" w:rsidRPr="008E6F1A" w:rsidRDefault="008E6F1A" w:rsidP="00626590">
      <w:pPr>
        <w:rPr>
          <w:rFonts w:ascii="Arial" w:hAnsi="Arial"/>
        </w:rPr>
      </w:pPr>
      <w:r>
        <w:rPr>
          <w:rFonts w:ascii="Arial" w:hAnsi="Arial"/>
        </w:rPr>
        <w:tab/>
      </w:r>
    </w:p>
    <w:tbl>
      <w:tblPr>
        <w:tblW w:w="7120" w:type="dxa"/>
        <w:jc w:val="center"/>
        <w:tblCellMar>
          <w:left w:w="70" w:type="dxa"/>
          <w:right w:w="70" w:type="dxa"/>
        </w:tblCellMar>
        <w:tblLook w:val="04A0" w:firstRow="1" w:lastRow="0" w:firstColumn="1" w:lastColumn="0" w:noHBand="0" w:noVBand="1"/>
      </w:tblPr>
      <w:tblGrid>
        <w:gridCol w:w="1960"/>
        <w:gridCol w:w="1560"/>
        <w:gridCol w:w="1200"/>
        <w:gridCol w:w="1200"/>
        <w:gridCol w:w="1200"/>
      </w:tblGrid>
      <w:tr w:rsidR="008E6F1A" w:rsidRPr="008E6F1A" w:rsidTr="008E6F1A">
        <w:trPr>
          <w:trHeight w:val="270"/>
          <w:jc w:val="center"/>
        </w:trPr>
        <w:tc>
          <w:tcPr>
            <w:tcW w:w="1960" w:type="dxa"/>
            <w:tcBorders>
              <w:top w:val="nil"/>
              <w:left w:val="nil"/>
              <w:bottom w:val="nil"/>
              <w:right w:val="nil"/>
            </w:tcBorders>
            <w:shd w:val="clear" w:color="auto" w:fill="auto"/>
            <w:noWrap/>
            <w:vAlign w:val="center"/>
            <w:hideMark/>
          </w:tcPr>
          <w:p w:rsidR="008E6F1A" w:rsidRPr="008E6F1A" w:rsidRDefault="008E6F1A" w:rsidP="008E6F1A">
            <w:pPr>
              <w:spacing w:after="0"/>
              <w:jc w:val="left"/>
              <w:rPr>
                <w:rFonts w:ascii="Times New Roman" w:eastAsia="Times New Roman" w:hAnsi="Times New Roman" w:cs="Times New Roman"/>
                <w:sz w:val="24"/>
                <w:szCs w:val="24"/>
                <w:lang w:eastAsia="es-ES"/>
              </w:rPr>
            </w:pPr>
          </w:p>
        </w:tc>
        <w:tc>
          <w:tcPr>
            <w:tcW w:w="1560" w:type="dxa"/>
            <w:tcBorders>
              <w:top w:val="nil"/>
              <w:left w:val="nil"/>
              <w:bottom w:val="nil"/>
              <w:right w:val="nil"/>
            </w:tcBorders>
            <w:shd w:val="clear" w:color="auto" w:fill="auto"/>
            <w:noWrap/>
            <w:vAlign w:val="center"/>
            <w:hideMark/>
          </w:tcPr>
          <w:p w:rsidR="008E6F1A" w:rsidRPr="008E6F1A" w:rsidRDefault="008E6F1A" w:rsidP="008E6F1A">
            <w:pPr>
              <w:spacing w:after="0"/>
              <w:jc w:val="left"/>
              <w:rPr>
                <w:rFonts w:ascii="Times New Roman" w:eastAsia="Times New Roman" w:hAnsi="Times New Roman" w:cs="Times New Roman"/>
                <w:sz w:val="20"/>
                <w:szCs w:val="20"/>
                <w:lang w:eastAsia="es-ES"/>
              </w:rPr>
            </w:pPr>
          </w:p>
        </w:tc>
        <w:tc>
          <w:tcPr>
            <w:tcW w:w="1200" w:type="dxa"/>
            <w:tcBorders>
              <w:top w:val="single" w:sz="8" w:space="0" w:color="auto"/>
              <w:left w:val="single" w:sz="8" w:space="0" w:color="auto"/>
              <w:bottom w:val="nil"/>
              <w:right w:val="single" w:sz="8" w:space="0" w:color="auto"/>
            </w:tcBorders>
            <w:shd w:val="clear" w:color="auto" w:fill="auto"/>
            <w:noWrap/>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2009</w:t>
            </w:r>
          </w:p>
        </w:tc>
        <w:tc>
          <w:tcPr>
            <w:tcW w:w="1200" w:type="dxa"/>
            <w:tcBorders>
              <w:top w:val="single" w:sz="8" w:space="0" w:color="auto"/>
              <w:left w:val="nil"/>
              <w:bottom w:val="nil"/>
              <w:right w:val="single" w:sz="8" w:space="0" w:color="auto"/>
            </w:tcBorders>
            <w:shd w:val="clear" w:color="auto" w:fill="auto"/>
            <w:noWrap/>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2010</w:t>
            </w:r>
          </w:p>
        </w:tc>
        <w:tc>
          <w:tcPr>
            <w:tcW w:w="1200" w:type="dxa"/>
            <w:tcBorders>
              <w:top w:val="single" w:sz="8" w:space="0" w:color="auto"/>
              <w:left w:val="nil"/>
              <w:bottom w:val="nil"/>
              <w:right w:val="single" w:sz="8" w:space="0" w:color="auto"/>
            </w:tcBorders>
            <w:shd w:val="clear" w:color="auto" w:fill="auto"/>
            <w:noWrap/>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2015-2016</w:t>
            </w:r>
          </w:p>
        </w:tc>
      </w:tr>
      <w:tr w:rsidR="008E6F1A" w:rsidRPr="008E6F1A" w:rsidTr="008E6F1A">
        <w:trPr>
          <w:trHeight w:val="270"/>
          <w:jc w:val="center"/>
        </w:trPr>
        <w:tc>
          <w:tcPr>
            <w:tcW w:w="1960" w:type="dxa"/>
            <w:vMerge w:val="restart"/>
            <w:tcBorders>
              <w:top w:val="single" w:sz="8" w:space="0" w:color="auto"/>
              <w:left w:val="single" w:sz="8" w:space="0" w:color="auto"/>
              <w:bottom w:val="single" w:sz="8" w:space="0" w:color="000000"/>
              <w:right w:val="nil"/>
            </w:tcBorders>
            <w:shd w:val="clear" w:color="auto" w:fill="auto"/>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PASIVOS CONTINGENTES RECONOCIDOS</w:t>
            </w: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i/>
                <w:iCs/>
                <w:color w:val="000000"/>
                <w:sz w:val="20"/>
                <w:szCs w:val="20"/>
                <w:lang w:eastAsia="es-ES"/>
              </w:rPr>
            </w:pPr>
            <w:r w:rsidRPr="008E6F1A">
              <w:rPr>
                <w:rFonts w:ascii="Calibri" w:eastAsia="Times New Roman" w:hAnsi="Calibri" w:cs="Calibri"/>
                <w:b/>
                <w:bCs/>
                <w:i/>
                <w:iCs/>
                <w:color w:val="000000"/>
                <w:sz w:val="20"/>
                <w:szCs w:val="20"/>
                <w:lang w:eastAsia="es-ES"/>
              </w:rPr>
              <w:t>VALORACIÓN</w:t>
            </w:r>
          </w:p>
        </w:tc>
        <w:tc>
          <w:tcPr>
            <w:tcW w:w="1200" w:type="dxa"/>
            <w:tcBorders>
              <w:top w:val="single" w:sz="8" w:space="0" w:color="auto"/>
              <w:left w:val="single" w:sz="8" w:space="0" w:color="auto"/>
              <w:bottom w:val="single" w:sz="8" w:space="0" w:color="auto"/>
              <w:right w:val="single" w:sz="8" w:space="0" w:color="auto"/>
            </w:tcBorders>
            <w:shd w:val="clear" w:color="000000" w:fill="FCBC7B"/>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33,30%</w:t>
            </w:r>
          </w:p>
        </w:tc>
        <w:tc>
          <w:tcPr>
            <w:tcW w:w="1200" w:type="dxa"/>
            <w:tcBorders>
              <w:top w:val="single" w:sz="8" w:space="0" w:color="auto"/>
              <w:left w:val="nil"/>
              <w:bottom w:val="single" w:sz="8" w:space="0" w:color="auto"/>
              <w:right w:val="single" w:sz="8" w:space="0" w:color="auto"/>
            </w:tcBorders>
            <w:shd w:val="clear" w:color="000000" w:fill="FDC57C"/>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36,67%</w:t>
            </w:r>
          </w:p>
        </w:tc>
        <w:tc>
          <w:tcPr>
            <w:tcW w:w="1200" w:type="dxa"/>
            <w:tcBorders>
              <w:top w:val="single" w:sz="8" w:space="0" w:color="auto"/>
              <w:left w:val="nil"/>
              <w:bottom w:val="single" w:sz="8" w:space="0" w:color="auto"/>
              <w:right w:val="single" w:sz="8" w:space="0" w:color="auto"/>
            </w:tcBorders>
            <w:shd w:val="clear" w:color="000000" w:fill="FEE282"/>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47%</w:t>
            </w:r>
          </w:p>
        </w:tc>
      </w:tr>
      <w:tr w:rsidR="008E6F1A" w:rsidRPr="008E6F1A" w:rsidTr="008E6F1A">
        <w:trPr>
          <w:trHeight w:val="525"/>
          <w:jc w:val="center"/>
        </w:trPr>
        <w:tc>
          <w:tcPr>
            <w:tcW w:w="1960" w:type="dxa"/>
            <w:vMerge/>
            <w:tcBorders>
              <w:top w:val="single" w:sz="8" w:space="0" w:color="auto"/>
              <w:left w:val="single" w:sz="8" w:space="0" w:color="auto"/>
              <w:bottom w:val="single" w:sz="8" w:space="0" w:color="000000"/>
              <w:right w:val="nil"/>
            </w:tcBorders>
            <w:vAlign w:val="center"/>
            <w:hideMark/>
          </w:tcPr>
          <w:p w:rsidR="008E6F1A" w:rsidRPr="008E6F1A" w:rsidRDefault="008E6F1A" w:rsidP="008E6F1A">
            <w:pPr>
              <w:spacing w:after="0"/>
              <w:jc w:val="left"/>
              <w:rPr>
                <w:rFonts w:ascii="Calibri" w:eastAsia="Times New Roman" w:hAnsi="Calibri" w:cs="Calibri"/>
                <w:b/>
                <w:bCs/>
                <w:color w:val="000000"/>
                <w:sz w:val="20"/>
                <w:szCs w:val="20"/>
                <w:lang w:eastAsia="es-ES"/>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i/>
                <w:iCs/>
                <w:color w:val="000000"/>
                <w:sz w:val="20"/>
                <w:szCs w:val="20"/>
                <w:lang w:eastAsia="es-ES"/>
              </w:rPr>
            </w:pPr>
            <w:r w:rsidRPr="008E6F1A">
              <w:rPr>
                <w:rFonts w:ascii="Calibri" w:eastAsia="Times New Roman" w:hAnsi="Calibri" w:cs="Calibri"/>
                <w:b/>
                <w:bCs/>
                <w:i/>
                <w:iCs/>
                <w:color w:val="000000"/>
                <w:sz w:val="20"/>
                <w:szCs w:val="20"/>
                <w:lang w:eastAsia="es-ES"/>
              </w:rPr>
              <w:t xml:space="preserve">ARGUMENTOS </w:t>
            </w:r>
          </w:p>
        </w:tc>
        <w:tc>
          <w:tcPr>
            <w:tcW w:w="1200" w:type="dxa"/>
            <w:tcBorders>
              <w:top w:val="nil"/>
              <w:left w:val="single" w:sz="8" w:space="0" w:color="auto"/>
              <w:bottom w:val="single" w:sz="8" w:space="0" w:color="auto"/>
              <w:right w:val="single" w:sz="8" w:space="0" w:color="auto"/>
            </w:tcBorders>
            <w:shd w:val="clear" w:color="000000" w:fill="FDD880"/>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43,30%</w:t>
            </w:r>
          </w:p>
        </w:tc>
        <w:tc>
          <w:tcPr>
            <w:tcW w:w="1200" w:type="dxa"/>
            <w:tcBorders>
              <w:top w:val="nil"/>
              <w:left w:val="nil"/>
              <w:bottom w:val="single" w:sz="8" w:space="0" w:color="auto"/>
              <w:right w:val="single" w:sz="8" w:space="0" w:color="auto"/>
            </w:tcBorders>
            <w:shd w:val="clear" w:color="000000" w:fill="FED880"/>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43,33%</w:t>
            </w:r>
          </w:p>
        </w:tc>
        <w:tc>
          <w:tcPr>
            <w:tcW w:w="1200" w:type="dxa"/>
            <w:tcBorders>
              <w:top w:val="nil"/>
              <w:left w:val="nil"/>
              <w:bottom w:val="single" w:sz="8" w:space="0" w:color="auto"/>
              <w:right w:val="single" w:sz="8" w:space="0" w:color="auto"/>
            </w:tcBorders>
            <w:shd w:val="clear" w:color="000000" w:fill="FFEB84"/>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50%</w:t>
            </w:r>
          </w:p>
        </w:tc>
      </w:tr>
    </w:tbl>
    <w:p w:rsidR="006E0D42" w:rsidRDefault="006E0D42" w:rsidP="008E6F1A">
      <w:pPr>
        <w:tabs>
          <w:tab w:val="left" w:pos="1029"/>
        </w:tabs>
        <w:rPr>
          <w:rFonts w:ascii="Arial" w:hAnsi="Arial"/>
        </w:rPr>
      </w:pPr>
    </w:p>
    <w:p w:rsidR="00626590" w:rsidRDefault="00626590" w:rsidP="008E6F1A">
      <w:pPr>
        <w:tabs>
          <w:tab w:val="left" w:pos="1029"/>
        </w:tabs>
        <w:rPr>
          <w:rFonts w:ascii="Arial" w:hAnsi="Arial"/>
        </w:rPr>
      </w:pPr>
      <w:r w:rsidRPr="00626590">
        <w:rPr>
          <w:rFonts w:ascii="Arial" w:hAnsi="Arial"/>
        </w:rPr>
        <w:t>En los estados financieros, la verificación del apartado relacionado con los pasivos contingentes ha constituido un área problemática, la información no se encontraba delimitada en el apartado relativo a la combinación, en su lugar, en otros puntos de las cuentas anuales se informaba de que los pasivos contingentes incluían de manera agregada aquellos importes que surgieran de las adquisiciones de entidades. Por lo tanto, se ha tomado como referencia que se haga mención a las combinaciones de negocios en el apartado de pasivos contingentes y que se señale su valor razonable en las cuentas que publican las entidades.</w:t>
      </w:r>
    </w:p>
    <w:tbl>
      <w:tblPr>
        <w:tblW w:w="7120" w:type="dxa"/>
        <w:jc w:val="center"/>
        <w:tblCellMar>
          <w:left w:w="70" w:type="dxa"/>
          <w:right w:w="70" w:type="dxa"/>
        </w:tblCellMar>
        <w:tblLook w:val="04A0" w:firstRow="1" w:lastRow="0" w:firstColumn="1" w:lastColumn="0" w:noHBand="0" w:noVBand="1"/>
      </w:tblPr>
      <w:tblGrid>
        <w:gridCol w:w="1960"/>
        <w:gridCol w:w="1560"/>
        <w:gridCol w:w="1200"/>
        <w:gridCol w:w="1200"/>
        <w:gridCol w:w="1200"/>
      </w:tblGrid>
      <w:tr w:rsidR="008E6F1A" w:rsidRPr="008E6F1A" w:rsidTr="008E6F1A">
        <w:trPr>
          <w:trHeight w:val="270"/>
          <w:jc w:val="center"/>
        </w:trPr>
        <w:tc>
          <w:tcPr>
            <w:tcW w:w="1960" w:type="dxa"/>
            <w:tcBorders>
              <w:top w:val="nil"/>
              <w:left w:val="nil"/>
              <w:bottom w:val="nil"/>
              <w:right w:val="nil"/>
            </w:tcBorders>
            <w:shd w:val="clear" w:color="auto" w:fill="auto"/>
            <w:noWrap/>
            <w:vAlign w:val="center"/>
            <w:hideMark/>
          </w:tcPr>
          <w:p w:rsidR="008E6F1A" w:rsidRPr="008E6F1A" w:rsidRDefault="008E6F1A" w:rsidP="008E6F1A">
            <w:pPr>
              <w:spacing w:after="0"/>
              <w:jc w:val="left"/>
              <w:rPr>
                <w:rFonts w:ascii="Times New Roman" w:eastAsia="Times New Roman" w:hAnsi="Times New Roman" w:cs="Times New Roman"/>
                <w:sz w:val="24"/>
                <w:szCs w:val="24"/>
                <w:lang w:eastAsia="es-ES"/>
              </w:rPr>
            </w:pPr>
          </w:p>
        </w:tc>
        <w:tc>
          <w:tcPr>
            <w:tcW w:w="1560" w:type="dxa"/>
            <w:tcBorders>
              <w:top w:val="nil"/>
              <w:left w:val="nil"/>
              <w:bottom w:val="nil"/>
              <w:right w:val="nil"/>
            </w:tcBorders>
            <w:shd w:val="clear" w:color="auto" w:fill="auto"/>
            <w:noWrap/>
            <w:vAlign w:val="center"/>
            <w:hideMark/>
          </w:tcPr>
          <w:p w:rsidR="008E6F1A" w:rsidRPr="008E6F1A" w:rsidRDefault="008E6F1A" w:rsidP="008E6F1A">
            <w:pPr>
              <w:spacing w:after="0"/>
              <w:jc w:val="left"/>
              <w:rPr>
                <w:rFonts w:ascii="Times New Roman" w:eastAsia="Times New Roman" w:hAnsi="Times New Roman" w:cs="Times New Roman"/>
                <w:sz w:val="20"/>
                <w:szCs w:val="20"/>
                <w:lang w:eastAsia="es-ES"/>
              </w:rPr>
            </w:pPr>
          </w:p>
        </w:tc>
        <w:tc>
          <w:tcPr>
            <w:tcW w:w="12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2009</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2010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2015-2016</w:t>
            </w:r>
          </w:p>
        </w:tc>
      </w:tr>
      <w:tr w:rsidR="008E6F1A" w:rsidRPr="008E6F1A" w:rsidTr="008E6F1A">
        <w:trPr>
          <w:trHeight w:val="900"/>
          <w:jc w:val="center"/>
        </w:trPr>
        <w:tc>
          <w:tcPr>
            <w:tcW w:w="3520" w:type="dxa"/>
            <w:gridSpan w:val="2"/>
            <w:tcBorders>
              <w:top w:val="single" w:sz="8" w:space="0" w:color="auto"/>
              <w:left w:val="single" w:sz="8" w:space="0" w:color="auto"/>
              <w:bottom w:val="single" w:sz="8" w:space="0" w:color="auto"/>
              <w:right w:val="nil"/>
            </w:tcBorders>
            <w:shd w:val="clear" w:color="auto" w:fill="auto"/>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INGRESOS DIFERENCIADOS DE LAS EMPRESAS ADQUIRIDAS</w:t>
            </w:r>
          </w:p>
        </w:tc>
        <w:tc>
          <w:tcPr>
            <w:tcW w:w="1200" w:type="dxa"/>
            <w:tcBorders>
              <w:top w:val="nil"/>
              <w:left w:val="single" w:sz="8" w:space="0" w:color="auto"/>
              <w:bottom w:val="single" w:sz="8" w:space="0" w:color="auto"/>
              <w:right w:val="single" w:sz="8" w:space="0" w:color="auto"/>
            </w:tcBorders>
            <w:shd w:val="clear" w:color="000000" w:fill="FA8E72"/>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16,70%</w:t>
            </w:r>
          </w:p>
        </w:tc>
        <w:tc>
          <w:tcPr>
            <w:tcW w:w="1200" w:type="dxa"/>
            <w:tcBorders>
              <w:top w:val="nil"/>
              <w:left w:val="nil"/>
              <w:bottom w:val="single" w:sz="8" w:space="0" w:color="auto"/>
              <w:right w:val="single" w:sz="8" w:space="0" w:color="auto"/>
            </w:tcBorders>
            <w:shd w:val="clear" w:color="000000" w:fill="FA9773"/>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20,00%</w:t>
            </w:r>
          </w:p>
        </w:tc>
        <w:tc>
          <w:tcPr>
            <w:tcW w:w="1200" w:type="dxa"/>
            <w:tcBorders>
              <w:top w:val="nil"/>
              <w:left w:val="nil"/>
              <w:bottom w:val="single" w:sz="8" w:space="0" w:color="auto"/>
              <w:right w:val="single" w:sz="8" w:space="0" w:color="auto"/>
            </w:tcBorders>
            <w:shd w:val="clear" w:color="000000" w:fill="FDC67D"/>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37%</w:t>
            </w:r>
          </w:p>
        </w:tc>
      </w:tr>
    </w:tbl>
    <w:p w:rsidR="00626590" w:rsidRDefault="00626590" w:rsidP="008E6F1A">
      <w:pPr>
        <w:tabs>
          <w:tab w:val="left" w:pos="1029"/>
        </w:tabs>
        <w:rPr>
          <w:rFonts w:ascii="Arial" w:hAnsi="Arial"/>
        </w:rPr>
      </w:pPr>
    </w:p>
    <w:p w:rsidR="008E6F1A" w:rsidRDefault="00626590" w:rsidP="008E6F1A">
      <w:pPr>
        <w:tabs>
          <w:tab w:val="left" w:pos="1029"/>
        </w:tabs>
        <w:rPr>
          <w:rFonts w:ascii="Arial" w:hAnsi="Arial"/>
        </w:rPr>
      </w:pPr>
      <w:r w:rsidRPr="00626590">
        <w:rPr>
          <w:rFonts w:ascii="Arial" w:hAnsi="Arial"/>
        </w:rPr>
        <w:t>Por último, en la mayoría de los casos, las entidades no han ofrecido información relativa a los ingresos diferenciados de las entidades adquiridas, sin embargo, en muchas de las cuentas anuales estaban presenten los ingresos generados por las empresas subsidiarias, y en algunas se realizaban estimaciones de la generación de ingresos por parte de las entidades adquiridas.</w:t>
      </w:r>
    </w:p>
    <w:tbl>
      <w:tblPr>
        <w:tblW w:w="7120" w:type="dxa"/>
        <w:jc w:val="center"/>
        <w:tblCellMar>
          <w:left w:w="70" w:type="dxa"/>
          <w:right w:w="70" w:type="dxa"/>
        </w:tblCellMar>
        <w:tblLook w:val="04A0" w:firstRow="1" w:lastRow="0" w:firstColumn="1" w:lastColumn="0" w:noHBand="0" w:noVBand="1"/>
      </w:tblPr>
      <w:tblGrid>
        <w:gridCol w:w="1960"/>
        <w:gridCol w:w="1560"/>
        <w:gridCol w:w="1200"/>
        <w:gridCol w:w="1200"/>
        <w:gridCol w:w="1200"/>
      </w:tblGrid>
      <w:tr w:rsidR="008E6F1A" w:rsidRPr="008E6F1A" w:rsidTr="008E6F1A">
        <w:trPr>
          <w:trHeight w:val="270"/>
          <w:jc w:val="center"/>
        </w:trPr>
        <w:tc>
          <w:tcPr>
            <w:tcW w:w="1960" w:type="dxa"/>
            <w:tcBorders>
              <w:top w:val="nil"/>
              <w:left w:val="nil"/>
              <w:bottom w:val="single" w:sz="8" w:space="0" w:color="auto"/>
              <w:right w:val="nil"/>
            </w:tcBorders>
            <w:shd w:val="clear" w:color="auto" w:fill="auto"/>
            <w:noWrap/>
            <w:vAlign w:val="bottom"/>
            <w:hideMark/>
          </w:tcPr>
          <w:p w:rsidR="008E6F1A" w:rsidRPr="008E6F1A" w:rsidRDefault="008E6F1A" w:rsidP="008E6F1A">
            <w:pPr>
              <w:spacing w:after="0"/>
              <w:jc w:val="left"/>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 </w:t>
            </w:r>
          </w:p>
        </w:tc>
        <w:tc>
          <w:tcPr>
            <w:tcW w:w="1560" w:type="dxa"/>
            <w:tcBorders>
              <w:top w:val="nil"/>
              <w:left w:val="nil"/>
              <w:bottom w:val="single" w:sz="8" w:space="0" w:color="auto"/>
              <w:right w:val="nil"/>
            </w:tcBorders>
            <w:shd w:val="clear" w:color="auto" w:fill="auto"/>
            <w:noWrap/>
            <w:vAlign w:val="bottom"/>
            <w:hideMark/>
          </w:tcPr>
          <w:p w:rsidR="008E6F1A" w:rsidRPr="008E6F1A" w:rsidRDefault="008E6F1A" w:rsidP="008E6F1A">
            <w:pPr>
              <w:spacing w:after="0"/>
              <w:jc w:val="left"/>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 </w:t>
            </w:r>
          </w:p>
        </w:tc>
        <w:tc>
          <w:tcPr>
            <w:tcW w:w="12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2009</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2010</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2015-2016</w:t>
            </w:r>
          </w:p>
        </w:tc>
      </w:tr>
      <w:tr w:rsidR="008E6F1A" w:rsidRPr="008E6F1A" w:rsidTr="008E6F1A">
        <w:trPr>
          <w:trHeight w:val="525"/>
          <w:jc w:val="center"/>
        </w:trPr>
        <w:tc>
          <w:tcPr>
            <w:tcW w:w="1960" w:type="dxa"/>
            <w:vMerge w:val="restart"/>
            <w:tcBorders>
              <w:top w:val="nil"/>
              <w:left w:val="single" w:sz="8" w:space="0" w:color="auto"/>
              <w:bottom w:val="single" w:sz="8" w:space="0" w:color="000000"/>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color w:val="000000"/>
                <w:sz w:val="20"/>
                <w:szCs w:val="20"/>
                <w:lang w:eastAsia="es-ES"/>
              </w:rPr>
            </w:pPr>
            <w:r w:rsidRPr="008E6F1A">
              <w:rPr>
                <w:rFonts w:ascii="Calibri" w:eastAsia="Times New Roman" w:hAnsi="Calibri" w:cs="Calibri"/>
                <w:b/>
                <w:bCs/>
                <w:color w:val="000000"/>
                <w:sz w:val="20"/>
                <w:szCs w:val="20"/>
                <w:lang w:eastAsia="es-ES"/>
              </w:rPr>
              <w:t>COMBINACIÓN DE NEGOCIOS POR ETAPAS</w:t>
            </w:r>
          </w:p>
        </w:tc>
        <w:tc>
          <w:tcPr>
            <w:tcW w:w="1560" w:type="dxa"/>
            <w:tcBorders>
              <w:top w:val="nil"/>
              <w:left w:val="nil"/>
              <w:bottom w:val="single" w:sz="8" w:space="0" w:color="auto"/>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i/>
                <w:iCs/>
                <w:color w:val="000000"/>
                <w:sz w:val="20"/>
                <w:szCs w:val="20"/>
                <w:lang w:eastAsia="es-ES"/>
              </w:rPr>
            </w:pPr>
            <w:r w:rsidRPr="008E6F1A">
              <w:rPr>
                <w:rFonts w:ascii="Calibri" w:eastAsia="Times New Roman" w:hAnsi="Calibri" w:cs="Calibri"/>
                <w:b/>
                <w:bCs/>
                <w:i/>
                <w:iCs/>
                <w:color w:val="000000"/>
                <w:sz w:val="20"/>
                <w:szCs w:val="20"/>
                <w:lang w:eastAsia="es-ES"/>
              </w:rPr>
              <w:t>CRITERIOS DE VALORACIÓN</w:t>
            </w:r>
          </w:p>
        </w:tc>
        <w:tc>
          <w:tcPr>
            <w:tcW w:w="1200" w:type="dxa"/>
            <w:tcBorders>
              <w:top w:val="nil"/>
              <w:left w:val="nil"/>
              <w:bottom w:val="single" w:sz="8" w:space="0" w:color="auto"/>
              <w:right w:val="single" w:sz="8" w:space="0" w:color="auto"/>
            </w:tcBorders>
            <w:shd w:val="clear" w:color="000000" w:fill="F8696B"/>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3,30%</w:t>
            </w:r>
          </w:p>
        </w:tc>
        <w:tc>
          <w:tcPr>
            <w:tcW w:w="1200" w:type="dxa"/>
            <w:tcBorders>
              <w:top w:val="nil"/>
              <w:left w:val="nil"/>
              <w:bottom w:val="single" w:sz="8" w:space="0" w:color="auto"/>
              <w:right w:val="single" w:sz="8" w:space="0" w:color="auto"/>
            </w:tcBorders>
            <w:shd w:val="clear" w:color="000000" w:fill="F8726C"/>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6,67%</w:t>
            </w:r>
          </w:p>
        </w:tc>
        <w:tc>
          <w:tcPr>
            <w:tcW w:w="1200" w:type="dxa"/>
            <w:tcBorders>
              <w:top w:val="nil"/>
              <w:left w:val="nil"/>
              <w:bottom w:val="single" w:sz="8" w:space="0" w:color="auto"/>
              <w:right w:val="single" w:sz="8" w:space="0" w:color="auto"/>
            </w:tcBorders>
            <w:shd w:val="clear" w:color="000000" w:fill="F97B6E"/>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10%</w:t>
            </w:r>
          </w:p>
        </w:tc>
      </w:tr>
      <w:tr w:rsidR="008E6F1A" w:rsidRPr="008E6F1A" w:rsidTr="008E6F1A">
        <w:trPr>
          <w:trHeight w:val="780"/>
          <w:jc w:val="center"/>
        </w:trPr>
        <w:tc>
          <w:tcPr>
            <w:tcW w:w="1960" w:type="dxa"/>
            <w:vMerge/>
            <w:tcBorders>
              <w:top w:val="nil"/>
              <w:left w:val="single" w:sz="8" w:space="0" w:color="auto"/>
              <w:bottom w:val="single" w:sz="8" w:space="0" w:color="000000"/>
              <w:right w:val="single" w:sz="8" w:space="0" w:color="auto"/>
            </w:tcBorders>
            <w:vAlign w:val="center"/>
            <w:hideMark/>
          </w:tcPr>
          <w:p w:rsidR="008E6F1A" w:rsidRPr="008E6F1A" w:rsidRDefault="008E6F1A" w:rsidP="008E6F1A">
            <w:pPr>
              <w:spacing w:after="0"/>
              <w:jc w:val="left"/>
              <w:rPr>
                <w:rFonts w:ascii="Calibri" w:eastAsia="Times New Roman" w:hAnsi="Calibri" w:cs="Calibri"/>
                <w:b/>
                <w:bCs/>
                <w:color w:val="000000"/>
                <w:sz w:val="20"/>
                <w:szCs w:val="20"/>
                <w:lang w:eastAsia="es-ES"/>
              </w:rPr>
            </w:pPr>
          </w:p>
        </w:tc>
        <w:tc>
          <w:tcPr>
            <w:tcW w:w="1560" w:type="dxa"/>
            <w:tcBorders>
              <w:top w:val="nil"/>
              <w:left w:val="nil"/>
              <w:bottom w:val="single" w:sz="8" w:space="0" w:color="auto"/>
              <w:right w:val="single" w:sz="8" w:space="0" w:color="auto"/>
            </w:tcBorders>
            <w:shd w:val="clear" w:color="auto" w:fill="auto"/>
            <w:vAlign w:val="center"/>
            <w:hideMark/>
          </w:tcPr>
          <w:p w:rsidR="008E6F1A" w:rsidRPr="008E6F1A" w:rsidRDefault="008E6F1A" w:rsidP="008E6F1A">
            <w:pPr>
              <w:spacing w:after="0"/>
              <w:jc w:val="center"/>
              <w:rPr>
                <w:rFonts w:ascii="Calibri" w:eastAsia="Times New Roman" w:hAnsi="Calibri" w:cs="Calibri"/>
                <w:b/>
                <w:bCs/>
                <w:i/>
                <w:iCs/>
                <w:color w:val="000000"/>
                <w:sz w:val="20"/>
                <w:szCs w:val="20"/>
                <w:lang w:eastAsia="es-ES"/>
              </w:rPr>
            </w:pPr>
            <w:r w:rsidRPr="008E6F1A">
              <w:rPr>
                <w:rFonts w:ascii="Calibri" w:eastAsia="Times New Roman" w:hAnsi="Calibri" w:cs="Calibri"/>
                <w:b/>
                <w:bCs/>
                <w:i/>
                <w:iCs/>
                <w:color w:val="000000"/>
                <w:sz w:val="20"/>
                <w:szCs w:val="20"/>
                <w:lang w:eastAsia="es-ES"/>
              </w:rPr>
              <w:t xml:space="preserve">AJUSTA EL VALOR RAZONABLE </w:t>
            </w:r>
          </w:p>
        </w:tc>
        <w:tc>
          <w:tcPr>
            <w:tcW w:w="1200" w:type="dxa"/>
            <w:tcBorders>
              <w:top w:val="nil"/>
              <w:left w:val="nil"/>
              <w:bottom w:val="single" w:sz="8" w:space="0" w:color="auto"/>
              <w:right w:val="single" w:sz="8" w:space="0" w:color="auto"/>
            </w:tcBorders>
            <w:shd w:val="clear" w:color="000000" w:fill="F8696B"/>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3,30%</w:t>
            </w:r>
          </w:p>
        </w:tc>
        <w:tc>
          <w:tcPr>
            <w:tcW w:w="1200" w:type="dxa"/>
            <w:tcBorders>
              <w:top w:val="nil"/>
              <w:left w:val="nil"/>
              <w:bottom w:val="single" w:sz="8" w:space="0" w:color="auto"/>
              <w:right w:val="single" w:sz="8" w:space="0" w:color="auto"/>
            </w:tcBorders>
            <w:shd w:val="clear" w:color="000000" w:fill="F8726C"/>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6,67%</w:t>
            </w:r>
          </w:p>
        </w:tc>
        <w:tc>
          <w:tcPr>
            <w:tcW w:w="1200" w:type="dxa"/>
            <w:tcBorders>
              <w:top w:val="nil"/>
              <w:left w:val="nil"/>
              <w:bottom w:val="single" w:sz="8" w:space="0" w:color="auto"/>
              <w:right w:val="single" w:sz="8" w:space="0" w:color="auto"/>
            </w:tcBorders>
            <w:shd w:val="clear" w:color="000000" w:fill="F97B6E"/>
            <w:noWrap/>
            <w:vAlign w:val="center"/>
            <w:hideMark/>
          </w:tcPr>
          <w:p w:rsidR="008E6F1A" w:rsidRPr="008E6F1A" w:rsidRDefault="008E6F1A" w:rsidP="008E6F1A">
            <w:pPr>
              <w:spacing w:after="0"/>
              <w:jc w:val="center"/>
              <w:rPr>
                <w:rFonts w:ascii="Calibri" w:eastAsia="Times New Roman" w:hAnsi="Calibri" w:cs="Calibri"/>
                <w:color w:val="000000"/>
                <w:sz w:val="20"/>
                <w:szCs w:val="20"/>
                <w:lang w:eastAsia="es-ES"/>
              </w:rPr>
            </w:pPr>
            <w:r w:rsidRPr="008E6F1A">
              <w:rPr>
                <w:rFonts w:ascii="Calibri" w:eastAsia="Times New Roman" w:hAnsi="Calibri" w:cs="Calibri"/>
                <w:color w:val="000000"/>
                <w:sz w:val="20"/>
                <w:szCs w:val="20"/>
                <w:lang w:eastAsia="es-ES"/>
              </w:rPr>
              <w:t>10%</w:t>
            </w:r>
          </w:p>
        </w:tc>
      </w:tr>
    </w:tbl>
    <w:p w:rsidR="008E6F1A" w:rsidRDefault="008E6F1A" w:rsidP="008E6F1A">
      <w:pPr>
        <w:tabs>
          <w:tab w:val="left" w:pos="1029"/>
        </w:tabs>
        <w:rPr>
          <w:rFonts w:ascii="Arial" w:hAnsi="Arial"/>
        </w:rPr>
      </w:pPr>
    </w:p>
    <w:p w:rsidR="00626590" w:rsidRPr="00626590" w:rsidRDefault="00626590" w:rsidP="00626590">
      <w:pPr>
        <w:tabs>
          <w:tab w:val="left" w:pos="1029"/>
        </w:tabs>
        <w:rPr>
          <w:rFonts w:ascii="Arial" w:hAnsi="Arial"/>
        </w:rPr>
      </w:pPr>
      <w:r w:rsidRPr="00626590">
        <w:rPr>
          <w:rFonts w:ascii="Arial" w:hAnsi="Arial"/>
        </w:rPr>
        <w:t>Al examinar los estados financieros, las entidades de la muestra no indicaban información relativa a las combinaciones de negocios por etapas. Es relevante el cumplimiento de este criterio en la entidad BAY WA, METSA GROUP Y ASAHI LIFE.</w:t>
      </w:r>
    </w:p>
    <w:p w:rsidR="00626590" w:rsidRDefault="00626590" w:rsidP="00626590">
      <w:pPr>
        <w:tabs>
          <w:tab w:val="left" w:pos="1029"/>
        </w:tabs>
        <w:rPr>
          <w:rFonts w:ascii="Arial" w:hAnsi="Arial"/>
        </w:rPr>
      </w:pPr>
      <w:r w:rsidRPr="00626590">
        <w:rPr>
          <w:rFonts w:ascii="Arial" w:hAnsi="Arial"/>
        </w:rPr>
        <w:t>Durante el primer ejercicio solo publicaba información relativa a la valoración y los criterios de las combinaciones por etapas la entidad BAY WA, suponiendo así el 3% de la muestra. Posteriormente, ASAHI LIFE también publico información relativa a este hecho aumentado la participación al 6%, y en el último ciclo METSA GROUP también indico información relativa a las combinaciones de negocios por etapas, ascendiendo el porcentaje de empresas que difundían esta información al 10%</w:t>
      </w:r>
    </w:p>
    <w:p w:rsidR="002870B5" w:rsidRDefault="002870B5" w:rsidP="00626590">
      <w:pPr>
        <w:tabs>
          <w:tab w:val="left" w:pos="1029"/>
        </w:tabs>
        <w:rPr>
          <w:rFonts w:ascii="Arial" w:hAnsi="Arial"/>
        </w:rPr>
      </w:pPr>
    </w:p>
    <w:p w:rsidR="002870B5" w:rsidRDefault="002870B5" w:rsidP="00626590">
      <w:pPr>
        <w:tabs>
          <w:tab w:val="left" w:pos="1029"/>
        </w:tabs>
        <w:rPr>
          <w:rFonts w:ascii="Arial" w:hAnsi="Arial"/>
          <w:b/>
        </w:rPr>
      </w:pPr>
      <w:r>
        <w:rPr>
          <w:rFonts w:ascii="Arial" w:hAnsi="Arial"/>
          <w:b/>
        </w:rPr>
        <w:lastRenderedPageBreak/>
        <w:t>Analizando la divulgación realizada en función de la normativa aplicada</w:t>
      </w:r>
      <w:r w:rsidR="004934BE">
        <w:rPr>
          <w:rFonts w:ascii="Arial" w:hAnsi="Arial"/>
          <w:b/>
        </w:rPr>
        <w:t xml:space="preserve"> y por sectores</w:t>
      </w:r>
      <w:r>
        <w:rPr>
          <w:rFonts w:ascii="Arial" w:hAnsi="Arial"/>
          <w:b/>
        </w:rPr>
        <w:t xml:space="preserve"> se obtiene</w:t>
      </w:r>
      <w:r w:rsidR="004934BE">
        <w:rPr>
          <w:rFonts w:ascii="Arial" w:hAnsi="Arial"/>
          <w:b/>
        </w:rPr>
        <w:t>n los resultados expuestos en los</w:t>
      </w:r>
      <w:r>
        <w:rPr>
          <w:rFonts w:ascii="Arial" w:hAnsi="Arial"/>
          <w:b/>
        </w:rPr>
        <w:t xml:space="preserve"> siguiente</w:t>
      </w:r>
      <w:r w:rsidR="004934BE">
        <w:rPr>
          <w:rFonts w:ascii="Arial" w:hAnsi="Arial"/>
          <w:b/>
        </w:rPr>
        <w:t>s</w:t>
      </w:r>
      <w:r>
        <w:rPr>
          <w:rFonts w:ascii="Arial" w:hAnsi="Arial"/>
          <w:b/>
        </w:rPr>
        <w:t xml:space="preserve"> gráfico</w:t>
      </w:r>
      <w:r w:rsidR="004934BE">
        <w:rPr>
          <w:rFonts w:ascii="Arial" w:hAnsi="Arial"/>
          <w:b/>
        </w:rPr>
        <w:t>s</w:t>
      </w:r>
      <w:r>
        <w:rPr>
          <w:rFonts w:ascii="Arial" w:hAnsi="Arial"/>
          <w:b/>
        </w:rPr>
        <w:t>:</w:t>
      </w:r>
    </w:p>
    <w:p w:rsidR="004934BE" w:rsidRPr="004934BE" w:rsidRDefault="004934BE" w:rsidP="004934BE">
      <w:pPr>
        <w:tabs>
          <w:tab w:val="left" w:pos="1029"/>
        </w:tabs>
        <w:rPr>
          <w:rFonts w:ascii="Arial" w:hAnsi="Arial"/>
        </w:rPr>
      </w:pPr>
      <w:r w:rsidRPr="002870B5">
        <w:rPr>
          <w:rFonts w:ascii="Arial" w:hAnsi="Arial"/>
          <w:b/>
          <w:noProof/>
          <w:lang w:eastAsia="es-ES"/>
        </w:rPr>
        <w:drawing>
          <wp:anchor distT="0" distB="0" distL="114300" distR="114300" simplePos="0" relativeHeight="251665408" behindDoc="0" locked="0" layoutInCell="1" allowOverlap="1" wp14:anchorId="1435303D">
            <wp:simplePos x="0" y="0"/>
            <wp:positionH relativeFrom="column">
              <wp:posOffset>-261249</wp:posOffset>
            </wp:positionH>
            <wp:positionV relativeFrom="paragraph">
              <wp:posOffset>220980</wp:posOffset>
            </wp:positionV>
            <wp:extent cx="3336966" cy="3562597"/>
            <wp:effectExtent l="0" t="0" r="0" b="0"/>
            <wp:wrapSquare wrapText="bothSides"/>
            <wp:docPr id="3" name="Gráfico 3">
              <a:extLst xmlns:a="http://schemas.openxmlformats.org/drawingml/2006/main">
                <a:ext uri="{FF2B5EF4-FFF2-40B4-BE49-F238E27FC236}">
                  <a16:creationId xmlns:a16="http://schemas.microsoft.com/office/drawing/2014/main" id="{81FB24B6-8FA4-41CB-9F01-E8931E240B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4934BE" w:rsidRPr="004934BE" w:rsidRDefault="004934BE" w:rsidP="004934BE">
      <w:pPr>
        <w:tabs>
          <w:tab w:val="left" w:pos="1029"/>
        </w:tabs>
        <w:rPr>
          <w:rFonts w:ascii="Arial" w:hAnsi="Arial"/>
        </w:rPr>
      </w:pPr>
      <w:r w:rsidRPr="004934BE">
        <w:rPr>
          <w:rFonts w:ascii="Arial" w:hAnsi="Arial"/>
        </w:rPr>
        <w:t xml:space="preserve">Basando nuestras asunciones en la muestra analizada, el porcentaje de divulgación en las cuentas anuales publicadas de la normativa IFRS ha aumentado desde el 51.1% en 2009 al 61% en las últimas publicaciones, por otra parte, el índice de divulgación de las entidades que se basan en los estándares establecidos por los US GAAP varia poco, constituía el 37% de los ítems en 2009 y en la actualidad se cifra en el 40%. </w:t>
      </w:r>
    </w:p>
    <w:p w:rsidR="004934BE" w:rsidRPr="004934BE" w:rsidRDefault="004934BE" w:rsidP="004934BE">
      <w:pPr>
        <w:tabs>
          <w:tab w:val="left" w:pos="1029"/>
        </w:tabs>
        <w:rPr>
          <w:rFonts w:ascii="Arial" w:hAnsi="Arial"/>
        </w:rPr>
      </w:pPr>
      <w:r>
        <w:rPr>
          <w:rFonts w:ascii="Arial" w:hAnsi="Arial"/>
        </w:rPr>
        <w:t>D</w:t>
      </w:r>
      <w:r w:rsidRPr="004934BE">
        <w:rPr>
          <w:rFonts w:ascii="Arial" w:hAnsi="Arial"/>
        </w:rPr>
        <w:t>estacamos que la información en el caso de las entidades cooperativas que se basaban en los estándares publicados por el IASB presentaba la información de manera mucho más clara que las que se referenciaban por los GAAP.</w:t>
      </w:r>
    </w:p>
    <w:p w:rsidR="004934BE" w:rsidRDefault="004934BE" w:rsidP="004934BE">
      <w:pPr>
        <w:tabs>
          <w:tab w:val="left" w:pos="1029"/>
        </w:tabs>
        <w:rPr>
          <w:rFonts w:ascii="Arial" w:hAnsi="Arial"/>
        </w:rPr>
      </w:pPr>
      <w:r w:rsidRPr="004934BE">
        <w:rPr>
          <w:rFonts w:ascii="Arial" w:hAnsi="Arial"/>
        </w:rPr>
        <w:t>Adicionalmente, el índice medio de divulgación de los ítems en 2016 de la entidad suiza analizada (COOP SWISS) que aplica la normativa SWISS GAAP es del 65%, y el de la entidad FOKOKU LIFE que se basa en los estándares japoneses (ASBJ) del 61%, la muestra es reducida, estaba formada por una entidad en cada caso.</w:t>
      </w:r>
      <w:r w:rsidRPr="004934BE">
        <w:rPr>
          <w:rFonts w:ascii="Arial" w:hAnsi="Arial"/>
        </w:rPr>
        <w:br w:type="textWrapping" w:clear="all"/>
      </w:r>
    </w:p>
    <w:p w:rsidR="004934BE" w:rsidRPr="004934BE" w:rsidRDefault="004934BE" w:rsidP="004934BE">
      <w:pPr>
        <w:tabs>
          <w:tab w:val="left" w:pos="1029"/>
        </w:tabs>
        <w:rPr>
          <w:rFonts w:ascii="Arial" w:hAnsi="Arial"/>
        </w:rPr>
      </w:pPr>
      <w:r w:rsidRPr="002870B5">
        <w:rPr>
          <w:rFonts w:ascii="Arial" w:hAnsi="Arial"/>
          <w:noProof/>
          <w:lang w:eastAsia="es-ES"/>
        </w:rPr>
        <w:drawing>
          <wp:anchor distT="0" distB="0" distL="114300" distR="114300" simplePos="0" relativeHeight="251666432" behindDoc="0" locked="0" layoutInCell="1" allowOverlap="1" wp14:anchorId="29EF054A">
            <wp:simplePos x="0" y="0"/>
            <wp:positionH relativeFrom="column">
              <wp:posOffset>-260985</wp:posOffset>
            </wp:positionH>
            <wp:positionV relativeFrom="paragraph">
              <wp:posOffset>-120766</wp:posOffset>
            </wp:positionV>
            <wp:extent cx="3336925" cy="3514725"/>
            <wp:effectExtent l="0" t="0" r="0" b="0"/>
            <wp:wrapSquare wrapText="bothSides"/>
            <wp:docPr id="4" name="Gráfico 4">
              <a:extLst xmlns:a="http://schemas.openxmlformats.org/drawingml/2006/main">
                <a:ext uri="{FF2B5EF4-FFF2-40B4-BE49-F238E27FC236}">
                  <a16:creationId xmlns:a16="http://schemas.microsoft.com/office/drawing/2014/main" id="{F2436E2B-76F9-4549-A04D-1D3847B651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Pr="004934BE">
        <w:rPr>
          <w:rFonts w:ascii="Arial" w:hAnsi="Arial"/>
        </w:rPr>
        <w:t xml:space="preserve">La mayoría de sectores presentan una tendencia positiva, han mejorado la divulgación de los ítems seleccionados. </w:t>
      </w:r>
    </w:p>
    <w:p w:rsidR="004934BE" w:rsidRPr="004934BE" w:rsidRDefault="004934BE" w:rsidP="004934BE">
      <w:pPr>
        <w:tabs>
          <w:tab w:val="left" w:pos="1029"/>
        </w:tabs>
        <w:rPr>
          <w:rFonts w:ascii="Arial" w:hAnsi="Arial"/>
        </w:rPr>
      </w:pPr>
      <w:r w:rsidRPr="004934BE">
        <w:rPr>
          <w:rFonts w:ascii="Arial" w:hAnsi="Arial"/>
        </w:rPr>
        <w:t>No obstante, se observa un índice medio de divulgación en el sector bancario deficiente, previamente al periodo de implementación de la normativa IFRS 3 (2008) Y SFAS 141R presentaba un índice de divulgación global del 21%, y solo se incrementó hasta el 27,5% en el último periodo presentado.</w:t>
      </w:r>
    </w:p>
    <w:p w:rsidR="004934BE" w:rsidRPr="004934BE" w:rsidRDefault="004934BE" w:rsidP="004934BE">
      <w:pPr>
        <w:tabs>
          <w:tab w:val="left" w:pos="1029"/>
        </w:tabs>
        <w:rPr>
          <w:rFonts w:ascii="Arial" w:hAnsi="Arial"/>
        </w:rPr>
      </w:pPr>
      <w:r w:rsidRPr="004934BE">
        <w:rPr>
          <w:rFonts w:ascii="Arial" w:hAnsi="Arial"/>
        </w:rPr>
        <w:t>Por otra parte, el sector comercial y de alimentación, ha empeorado la información ofrecida en sus cuentas anuales relativa a</w:t>
      </w:r>
      <w:r w:rsidR="00F17591">
        <w:rPr>
          <w:rFonts w:ascii="Arial" w:hAnsi="Arial"/>
        </w:rPr>
        <w:t xml:space="preserve"> las actividades de </w:t>
      </w:r>
      <w:proofErr w:type="spellStart"/>
      <w:r w:rsidR="00F17591" w:rsidRPr="00F17591">
        <w:rPr>
          <w:rFonts w:ascii="Arial" w:hAnsi="Arial"/>
          <w:i/>
        </w:rPr>
        <w:t>Merger</w:t>
      </w:r>
      <w:proofErr w:type="spellEnd"/>
      <w:r w:rsidR="00F17591" w:rsidRPr="00F17591">
        <w:rPr>
          <w:rFonts w:ascii="Arial" w:hAnsi="Arial"/>
          <w:i/>
        </w:rPr>
        <w:t xml:space="preserve"> and </w:t>
      </w:r>
      <w:proofErr w:type="spellStart"/>
      <w:r w:rsidR="00F17591" w:rsidRPr="00F17591">
        <w:rPr>
          <w:rFonts w:ascii="Arial" w:hAnsi="Arial"/>
          <w:i/>
        </w:rPr>
        <w:t>A</w:t>
      </w:r>
      <w:r w:rsidRPr="00F17591">
        <w:rPr>
          <w:rFonts w:ascii="Arial" w:hAnsi="Arial"/>
          <w:i/>
        </w:rPr>
        <w:t>cquisitions</w:t>
      </w:r>
      <w:proofErr w:type="spellEnd"/>
      <w:r w:rsidRPr="004934BE">
        <w:rPr>
          <w:rFonts w:ascii="Arial" w:hAnsi="Arial"/>
        </w:rPr>
        <w:t xml:space="preserve"> </w:t>
      </w:r>
      <w:r w:rsidR="00F17591">
        <w:rPr>
          <w:rFonts w:ascii="Arial" w:hAnsi="Arial"/>
        </w:rPr>
        <w:t xml:space="preserve">(M&amp;A) </w:t>
      </w:r>
      <w:r w:rsidRPr="004934BE">
        <w:rPr>
          <w:rFonts w:ascii="Arial" w:hAnsi="Arial"/>
        </w:rPr>
        <w:t>el promedio de ítems publicados se cifraba en el 44,9% en 2009, en la actualidad ha disminuido hasta el 39,13%.</w:t>
      </w:r>
    </w:p>
    <w:p w:rsidR="002870B5" w:rsidRPr="002870B5" w:rsidRDefault="004934BE" w:rsidP="004934BE">
      <w:pPr>
        <w:rPr>
          <w:rFonts w:ascii="Arial" w:hAnsi="Arial"/>
        </w:rPr>
      </w:pPr>
      <w:r w:rsidRPr="004934BE">
        <w:rPr>
          <w:rFonts w:ascii="Arial" w:hAnsi="Arial"/>
        </w:rPr>
        <w:lastRenderedPageBreak/>
        <w:t xml:space="preserve">Por último, el sector actuarial y agrícola presentan tendencias positivas, sus índices de cumplimiento de los ítems alcanzaban el 46.89% y 54,59% respectivamente, en el último periodo se ha incrementado hasta el 57,76% y el 65,70%. </w:t>
      </w:r>
    </w:p>
    <w:p w:rsidR="00B559DF" w:rsidRDefault="00B559DF" w:rsidP="002870B5">
      <w:pPr>
        <w:rPr>
          <w:rFonts w:ascii="Arial" w:hAnsi="Arial"/>
        </w:rPr>
      </w:pPr>
    </w:p>
    <w:p w:rsidR="00B559DF" w:rsidRPr="00B559DF" w:rsidRDefault="00B559DF" w:rsidP="001732BB">
      <w:pPr>
        <w:pStyle w:val="Ttulo1"/>
      </w:pPr>
      <w:r w:rsidRPr="00B559DF">
        <w:t>CONCLUSIONES</w:t>
      </w:r>
    </w:p>
    <w:p w:rsidR="00B96B7B" w:rsidRDefault="00B96B7B" w:rsidP="009C1D21">
      <w:pPr>
        <w:rPr>
          <w:rFonts w:ascii="Arial" w:hAnsi="Arial" w:cs="Arial"/>
        </w:rPr>
      </w:pPr>
      <w:r>
        <w:rPr>
          <w:rFonts w:ascii="Arial" w:hAnsi="Arial" w:cs="Arial"/>
        </w:rPr>
        <w:t xml:space="preserve">Una vez realizados el estudio teórico de la normativa internacional relativo a combinaciones de negocios </w:t>
      </w:r>
      <w:r w:rsidR="009C1D21">
        <w:rPr>
          <w:rFonts w:ascii="Arial" w:hAnsi="Arial" w:cs="Arial"/>
        </w:rPr>
        <w:t>de</w:t>
      </w:r>
      <w:r>
        <w:rPr>
          <w:rFonts w:ascii="Arial" w:hAnsi="Arial" w:cs="Arial"/>
        </w:rPr>
        <w:t xml:space="preserve"> la IFRS 3</w:t>
      </w:r>
      <w:r w:rsidR="004B5C1B">
        <w:rPr>
          <w:rFonts w:ascii="Arial" w:hAnsi="Arial" w:cs="Arial"/>
        </w:rPr>
        <w:t xml:space="preserve"> </w:t>
      </w:r>
      <w:r w:rsidR="009C1D21">
        <w:rPr>
          <w:rFonts w:ascii="Arial" w:hAnsi="Arial" w:cs="Arial"/>
        </w:rPr>
        <w:t>(2008)</w:t>
      </w:r>
      <w:r>
        <w:rPr>
          <w:rFonts w:ascii="Arial" w:hAnsi="Arial" w:cs="Arial"/>
        </w:rPr>
        <w:t xml:space="preserve"> y, tras realizar el análisis de la divulgación de la información relativa a combinaciones de negocios en las cooperativas más relevantes del ámbito internacional obtenemos las siguientes conclusiones: </w:t>
      </w:r>
    </w:p>
    <w:p w:rsidR="00F74CE2" w:rsidRDefault="00F74CE2" w:rsidP="002870B5">
      <w:pPr>
        <w:rPr>
          <w:rFonts w:ascii="Arial" w:hAnsi="Arial"/>
        </w:rPr>
      </w:pPr>
      <w:r>
        <w:rPr>
          <w:rFonts w:ascii="Arial" w:hAnsi="Arial"/>
        </w:rPr>
        <w:t xml:space="preserve">Del análisis empírico realizado </w:t>
      </w:r>
      <w:r w:rsidR="001425E0">
        <w:rPr>
          <w:rFonts w:ascii="Arial" w:hAnsi="Arial"/>
        </w:rPr>
        <w:t>se desprende que la información divulgada</w:t>
      </w:r>
      <w:r w:rsidRPr="00F74CE2">
        <w:rPr>
          <w:rFonts w:ascii="Arial" w:hAnsi="Arial"/>
        </w:rPr>
        <w:t xml:space="preserve"> en las entidades cooperativas que aplican normativa IFRS es superior a las que se basan en los principios establecidos por las FASB, el índice de divulgación medio ha sido superior en los periodos analizados (2009,2010, 2015-2016), destacando en el último periodo con un 61,5% de las entidades que adoptan la NIIF 3 (2008) frente al 40% de las que aplican la SFAS 141R. Es necesario destacar, que ha presentado más complicaciones encontrar la información relevante relativa a combinaciones de negocios en las entidades que utilizan los GAAP.</w:t>
      </w:r>
    </w:p>
    <w:p w:rsidR="00F74CE2" w:rsidRDefault="00F74CE2" w:rsidP="002870B5">
      <w:pPr>
        <w:rPr>
          <w:rFonts w:ascii="Arial" w:hAnsi="Arial"/>
        </w:rPr>
      </w:pPr>
      <w:r w:rsidRPr="00F74CE2">
        <w:rPr>
          <w:rFonts w:ascii="Arial" w:hAnsi="Arial"/>
        </w:rPr>
        <w:t>Asimismo, los sectores que más información relevante aportan son el agrícola y actuarial, por otra parte, el bancario es el que peor divulgación presenta. Por último, los elementos de información más conflictivos por su escasa divulgación en las entidades cooperativas o mutualistas son los relativos a pasivos contingentes, revalorización de inversiones por adquisiciones por etapas e ingresos aportados a resultados por las entidades adquiridas.</w:t>
      </w:r>
    </w:p>
    <w:p w:rsidR="00F74CE2" w:rsidRDefault="00F74CE2" w:rsidP="002870B5">
      <w:pPr>
        <w:rPr>
          <w:rFonts w:ascii="Arial" w:hAnsi="Arial"/>
        </w:rPr>
      </w:pPr>
      <w:r>
        <w:rPr>
          <w:rFonts w:ascii="Arial" w:hAnsi="Arial"/>
        </w:rPr>
        <w:t>L</w:t>
      </w:r>
      <w:r w:rsidR="00B6341B">
        <w:rPr>
          <w:rFonts w:ascii="Arial" w:hAnsi="Arial"/>
        </w:rPr>
        <w:t>a opinión final sobre</w:t>
      </w:r>
      <w:r w:rsidRPr="00F74CE2">
        <w:rPr>
          <w:rFonts w:ascii="Arial" w:hAnsi="Arial"/>
        </w:rPr>
        <w:t xml:space="preserve"> la no</w:t>
      </w:r>
      <w:r w:rsidR="001425E0">
        <w:rPr>
          <w:rFonts w:ascii="Arial" w:hAnsi="Arial"/>
        </w:rPr>
        <w:t>rmativa internacional es que la información sobre</w:t>
      </w:r>
      <w:r w:rsidRPr="00F74CE2">
        <w:rPr>
          <w:rFonts w:ascii="Arial" w:hAnsi="Arial"/>
        </w:rPr>
        <w:t xml:space="preserve"> co</w:t>
      </w:r>
      <w:r w:rsidR="001425E0">
        <w:rPr>
          <w:rFonts w:ascii="Arial" w:hAnsi="Arial"/>
        </w:rPr>
        <w:t>mbinaciones de negocios debería</w:t>
      </w:r>
      <w:r w:rsidRPr="00F74CE2">
        <w:rPr>
          <w:rFonts w:ascii="Arial" w:hAnsi="Arial"/>
        </w:rPr>
        <w:t xml:space="preserve"> somet</w:t>
      </w:r>
      <w:r w:rsidR="001425E0">
        <w:rPr>
          <w:rFonts w:ascii="Arial" w:hAnsi="Arial"/>
        </w:rPr>
        <w:t>erse a regulación más detallada</w:t>
      </w:r>
      <w:r w:rsidRPr="00F74CE2">
        <w:rPr>
          <w:rFonts w:ascii="Arial" w:hAnsi="Arial"/>
        </w:rPr>
        <w:t>, la búsqueda de la información divulgada en las cuentas anuales ha constituido una tarea ardua</w:t>
      </w:r>
      <w:r>
        <w:rPr>
          <w:rFonts w:ascii="Arial" w:hAnsi="Arial"/>
        </w:rPr>
        <w:t>.</w:t>
      </w:r>
    </w:p>
    <w:p w:rsidR="00F74CE2" w:rsidRPr="00F74CE2" w:rsidRDefault="00F74CE2" w:rsidP="00F74CE2">
      <w:pPr>
        <w:rPr>
          <w:rFonts w:ascii="Arial" w:hAnsi="Arial"/>
        </w:rPr>
      </w:pPr>
      <w:r w:rsidRPr="00F74CE2">
        <w:rPr>
          <w:rFonts w:ascii="Arial" w:hAnsi="Arial"/>
        </w:rPr>
        <w:t>Es necesario que se establezcan unos criterios de presentación para que los usuarios externos de la información puedan interpretar y comparar la información entre entidades (uno de los objeti</w:t>
      </w:r>
      <w:r w:rsidR="001425E0">
        <w:rPr>
          <w:rFonts w:ascii="Arial" w:hAnsi="Arial"/>
        </w:rPr>
        <w:t>vos básicos del FASB y el IASB), en especial un epígrafe en la memoria donde aglutinar toda la información sobre combinaciones de negocio y la obligación de indicar que no es de aplicación cuando un ítem concreto establecido por la normativa no se divulga.</w:t>
      </w:r>
    </w:p>
    <w:p w:rsidR="00E528C4" w:rsidRDefault="00F74CE2" w:rsidP="00E528C4">
      <w:pPr>
        <w:rPr>
          <w:rFonts w:ascii="Arial" w:hAnsi="Arial"/>
        </w:rPr>
      </w:pPr>
      <w:r w:rsidRPr="00C847D9">
        <w:rPr>
          <w:rFonts w:ascii="Arial" w:hAnsi="Arial"/>
        </w:rPr>
        <w:t xml:space="preserve">Por último, en la </w:t>
      </w:r>
      <w:r w:rsidR="007069B9" w:rsidRPr="00C847D9">
        <w:rPr>
          <w:rFonts w:ascii="Arial" w:hAnsi="Arial"/>
        </w:rPr>
        <w:t>muestra total constituida por 9</w:t>
      </w:r>
      <w:r w:rsidRPr="00C847D9">
        <w:rPr>
          <w:rFonts w:ascii="Arial" w:hAnsi="Arial"/>
        </w:rPr>
        <w:t>0 cuentas anuales pertenecientes a</w:t>
      </w:r>
      <w:r w:rsidR="007069B9" w:rsidRPr="00C847D9">
        <w:rPr>
          <w:rFonts w:ascii="Arial" w:hAnsi="Arial"/>
        </w:rPr>
        <w:t xml:space="preserve"> 3</w:t>
      </w:r>
      <w:r w:rsidRPr="00C847D9">
        <w:rPr>
          <w:rFonts w:ascii="Arial" w:hAnsi="Arial"/>
        </w:rPr>
        <w:t>0 socied</w:t>
      </w:r>
      <w:r w:rsidR="00C847D9" w:rsidRPr="00C847D9">
        <w:rPr>
          <w:rFonts w:ascii="Arial" w:hAnsi="Arial"/>
        </w:rPr>
        <w:t>ades cooperativas o mutualistas</w:t>
      </w:r>
      <w:r w:rsidRPr="00C847D9">
        <w:rPr>
          <w:rFonts w:ascii="Arial" w:hAnsi="Arial"/>
        </w:rPr>
        <w:t>, pese a que el porcentaje de información divulgada fuera inferior al 50% no se han observado salvedades en la op</w:t>
      </w:r>
      <w:r w:rsidR="00C847D9" w:rsidRPr="00C847D9">
        <w:rPr>
          <w:rFonts w:ascii="Arial" w:hAnsi="Arial"/>
        </w:rPr>
        <w:t>inión del auditor, ni menciones</w:t>
      </w:r>
      <w:r w:rsidRPr="00C847D9">
        <w:rPr>
          <w:rFonts w:ascii="Arial" w:hAnsi="Arial"/>
        </w:rPr>
        <w:t xml:space="preserve"> en el párrafo de énfasis. Es</w:t>
      </w:r>
      <w:r w:rsidRPr="00F74CE2">
        <w:rPr>
          <w:rFonts w:ascii="Arial" w:hAnsi="Arial"/>
        </w:rPr>
        <w:t xml:space="preserve"> necesario que los o</w:t>
      </w:r>
      <w:r w:rsidR="00C847D9">
        <w:rPr>
          <w:rFonts w:ascii="Arial" w:hAnsi="Arial"/>
        </w:rPr>
        <w:t xml:space="preserve">rganismos internacionales tengan presente que la labor de </w:t>
      </w:r>
      <w:proofErr w:type="spellStart"/>
      <w:r w:rsidR="00C847D9" w:rsidRPr="00C847D9">
        <w:rPr>
          <w:rFonts w:ascii="Arial" w:hAnsi="Arial"/>
          <w:i/>
        </w:rPr>
        <w:t>enforcement</w:t>
      </w:r>
      <w:proofErr w:type="spellEnd"/>
      <w:r w:rsidR="00C847D9">
        <w:rPr>
          <w:rFonts w:ascii="Arial" w:hAnsi="Arial"/>
        </w:rPr>
        <w:t xml:space="preserve"> de los auditores es fundamental para asegurar la correcta aplicación de la normativa contable redundando en una mejor calidad de la información contable</w:t>
      </w:r>
      <w:r w:rsidRPr="00F74CE2">
        <w:rPr>
          <w:rFonts w:ascii="Arial" w:hAnsi="Arial"/>
        </w:rPr>
        <w:t>.</w:t>
      </w:r>
    </w:p>
    <w:p w:rsidR="00F1179C" w:rsidRDefault="00F1179C" w:rsidP="00E528C4">
      <w:pPr>
        <w:rPr>
          <w:rFonts w:ascii="Arial" w:hAnsi="Arial"/>
        </w:rPr>
      </w:pPr>
    </w:p>
    <w:p w:rsidR="00F1179C" w:rsidRDefault="00F1179C" w:rsidP="00E528C4">
      <w:pPr>
        <w:rPr>
          <w:rFonts w:ascii="Arial" w:hAnsi="Arial"/>
        </w:rPr>
      </w:pPr>
    </w:p>
    <w:p w:rsidR="00F1179C" w:rsidRDefault="00F1179C" w:rsidP="00E528C4">
      <w:pPr>
        <w:rPr>
          <w:rFonts w:ascii="Arial" w:hAnsi="Arial"/>
        </w:rPr>
      </w:pPr>
    </w:p>
    <w:p w:rsidR="00F1179C" w:rsidRDefault="00F1179C" w:rsidP="00E528C4">
      <w:pPr>
        <w:rPr>
          <w:rFonts w:ascii="Arial" w:hAnsi="Arial"/>
        </w:rPr>
      </w:pPr>
    </w:p>
    <w:p w:rsidR="00F1179C" w:rsidRDefault="00F1179C" w:rsidP="00E528C4">
      <w:pPr>
        <w:rPr>
          <w:rFonts w:ascii="Arial" w:hAnsi="Arial"/>
        </w:rPr>
      </w:pPr>
    </w:p>
    <w:p w:rsidR="00F1179C" w:rsidRDefault="00F1179C" w:rsidP="00E528C4">
      <w:pPr>
        <w:rPr>
          <w:rFonts w:ascii="Arial" w:hAnsi="Arial"/>
        </w:rPr>
      </w:pPr>
    </w:p>
    <w:p w:rsidR="00F1179C" w:rsidRDefault="00F1179C" w:rsidP="00E528C4">
      <w:pPr>
        <w:rPr>
          <w:rFonts w:ascii="Arial" w:hAnsi="Arial"/>
        </w:rPr>
      </w:pPr>
    </w:p>
    <w:p w:rsidR="00F1179C" w:rsidRPr="00E528C4" w:rsidRDefault="00F1179C" w:rsidP="00E528C4">
      <w:pPr>
        <w:rPr>
          <w:rFonts w:ascii="Arial" w:hAnsi="Arial"/>
        </w:rPr>
      </w:pPr>
    </w:p>
    <w:sdt>
      <w:sdtPr>
        <w:rPr>
          <w:rFonts w:asciiTheme="minorHAnsi" w:eastAsiaTheme="minorHAnsi" w:hAnsiTheme="minorHAnsi" w:cstheme="minorBidi"/>
          <w:b w:val="0"/>
          <w:color w:val="auto"/>
          <w:sz w:val="22"/>
          <w:szCs w:val="22"/>
        </w:rPr>
        <w:id w:val="266511727"/>
        <w:docPartObj>
          <w:docPartGallery w:val="Bibliographies"/>
          <w:docPartUnique/>
        </w:docPartObj>
      </w:sdtPr>
      <w:sdtEndPr/>
      <w:sdtContent>
        <w:p w:rsidR="00E528C4" w:rsidRDefault="00E528C4">
          <w:pPr>
            <w:pStyle w:val="Ttulo1"/>
          </w:pPr>
          <w:r>
            <w:t>Bibliografía</w:t>
          </w:r>
        </w:p>
        <w:sdt>
          <w:sdtPr>
            <w:rPr>
              <w:rFonts w:ascii="Arial" w:hAnsi="Arial" w:cs="Arial"/>
            </w:rPr>
            <w:id w:val="111145805"/>
            <w:bibliography/>
          </w:sdtPr>
          <w:sdtEndPr>
            <w:rPr>
              <w:rFonts w:asciiTheme="minorHAnsi" w:hAnsiTheme="minorHAnsi" w:cstheme="minorBidi"/>
            </w:rPr>
          </w:sdtEndPr>
          <w:sdtContent>
            <w:p w:rsidR="00E528C4" w:rsidRPr="00E528C4" w:rsidRDefault="00E528C4" w:rsidP="00E528C4">
              <w:pPr>
                <w:pStyle w:val="Bibliografa"/>
                <w:ind w:left="720" w:hanging="720"/>
                <w:rPr>
                  <w:rFonts w:ascii="Arial" w:hAnsi="Arial" w:cs="Arial"/>
                  <w:noProof/>
                  <w:sz w:val="24"/>
                  <w:szCs w:val="24"/>
                </w:rPr>
              </w:pPr>
              <w:r w:rsidRPr="00E528C4">
                <w:rPr>
                  <w:rFonts w:ascii="Arial" w:hAnsi="Arial" w:cs="Arial"/>
                </w:rPr>
                <w:fldChar w:fldCharType="begin"/>
              </w:r>
              <w:r w:rsidRPr="00E528C4">
                <w:rPr>
                  <w:rFonts w:ascii="Arial" w:hAnsi="Arial" w:cs="Arial"/>
                  <w:lang w:val="en-GB"/>
                </w:rPr>
                <w:instrText>BIBLIOGRAPHY</w:instrText>
              </w:r>
              <w:r w:rsidRPr="00E528C4">
                <w:rPr>
                  <w:rFonts w:ascii="Arial" w:hAnsi="Arial" w:cs="Arial"/>
                </w:rPr>
                <w:fldChar w:fldCharType="separate"/>
              </w:r>
              <w:r w:rsidRPr="00E528C4">
                <w:rPr>
                  <w:rFonts w:ascii="Arial" w:hAnsi="Arial" w:cs="Arial"/>
                  <w:noProof/>
                  <w:lang w:val="en-GB"/>
                </w:rPr>
                <w:t xml:space="preserve">CSI MARKET. (2016). </w:t>
              </w:r>
              <w:r w:rsidRPr="00E528C4">
                <w:rPr>
                  <w:rFonts w:ascii="Arial" w:hAnsi="Arial" w:cs="Arial"/>
                  <w:i/>
                  <w:iCs/>
                  <w:noProof/>
                  <w:lang w:val="en-GB"/>
                </w:rPr>
                <w:t>Utilities Sector Management Effectiveness Information and Trends by quarter, ROE, Return On Assets, Return On Investment from 2 Q 2017 to 2 Q 2016 - CSIMarket</w:t>
              </w:r>
              <w:r w:rsidRPr="00E528C4">
                <w:rPr>
                  <w:rFonts w:ascii="Arial" w:hAnsi="Arial" w:cs="Arial"/>
                  <w:noProof/>
                  <w:lang w:val="en-GB"/>
                </w:rPr>
                <w:t xml:space="preserve">. </w:t>
              </w:r>
              <w:r w:rsidRPr="00E528C4">
                <w:rPr>
                  <w:rFonts w:ascii="Arial" w:hAnsi="Arial" w:cs="Arial"/>
                  <w:noProof/>
                </w:rPr>
                <w:t>Obtenido de https://csimarket.com/Industry/industry_ManagementEffectiveness.php?s=1200</w:t>
              </w:r>
            </w:p>
            <w:p w:rsidR="00E528C4" w:rsidRPr="00E528C4" w:rsidRDefault="00E528C4" w:rsidP="00E528C4">
              <w:pPr>
                <w:pStyle w:val="Bibliografa"/>
                <w:ind w:left="720" w:hanging="720"/>
                <w:rPr>
                  <w:rFonts w:ascii="Arial" w:hAnsi="Arial" w:cs="Arial"/>
                  <w:noProof/>
                </w:rPr>
              </w:pPr>
              <w:r w:rsidRPr="00E528C4">
                <w:rPr>
                  <w:rFonts w:ascii="Arial" w:hAnsi="Arial" w:cs="Arial"/>
                  <w:noProof/>
                </w:rPr>
                <w:t>DELOITTE. (2009). Combinaciones de negocios y cambios en las participaciones Guía de la NIIF 3 y la NIC 27 revisadas.</w:t>
              </w:r>
            </w:p>
            <w:p w:rsidR="00E528C4" w:rsidRPr="00E528C4" w:rsidRDefault="00E528C4" w:rsidP="00E528C4">
              <w:pPr>
                <w:pStyle w:val="Bibliografa"/>
                <w:ind w:left="720" w:hanging="720"/>
                <w:rPr>
                  <w:rFonts w:ascii="Arial" w:hAnsi="Arial" w:cs="Arial"/>
                  <w:noProof/>
                  <w:lang w:val="en-GB"/>
                </w:rPr>
              </w:pPr>
              <w:r w:rsidRPr="00E528C4">
                <w:rPr>
                  <w:rFonts w:ascii="Arial" w:hAnsi="Arial" w:cs="Arial"/>
                  <w:noProof/>
                  <w:lang w:val="en-GB"/>
                </w:rPr>
                <w:t>Deloitte. (s.f.). APB 16: Business Combinations.</w:t>
              </w:r>
            </w:p>
            <w:p w:rsidR="00E528C4" w:rsidRPr="00E528C4" w:rsidRDefault="00E528C4" w:rsidP="00E528C4">
              <w:pPr>
                <w:pStyle w:val="Bibliografa"/>
                <w:ind w:left="720" w:hanging="720"/>
                <w:rPr>
                  <w:rFonts w:ascii="Arial" w:hAnsi="Arial" w:cs="Arial"/>
                  <w:noProof/>
                </w:rPr>
              </w:pPr>
              <w:r w:rsidRPr="00E528C4">
                <w:rPr>
                  <w:rFonts w:ascii="Arial" w:hAnsi="Arial" w:cs="Arial"/>
                  <w:noProof/>
                  <w:lang w:val="en-GB"/>
                </w:rPr>
                <w:t>FINANCIAL ACCOUNT</w:t>
              </w:r>
              <w:r w:rsidR="001425E0">
                <w:rPr>
                  <w:rFonts w:ascii="Arial" w:hAnsi="Arial" w:cs="Arial"/>
                  <w:noProof/>
                  <w:lang w:val="en-GB"/>
                </w:rPr>
                <w:t>INF</w:t>
              </w:r>
              <w:r w:rsidRPr="00E528C4">
                <w:rPr>
                  <w:rFonts w:ascii="Arial" w:hAnsi="Arial" w:cs="Arial"/>
                  <w:noProof/>
                  <w:lang w:val="en-GB"/>
                </w:rPr>
                <w:t xml:space="preserve"> STANDARDS BOARD. (s.f.). </w:t>
              </w:r>
              <w:r w:rsidRPr="00E528C4">
                <w:rPr>
                  <w:rFonts w:ascii="Arial" w:hAnsi="Arial" w:cs="Arial"/>
                  <w:i/>
                  <w:iCs/>
                  <w:noProof/>
                  <w:lang w:val="en-GB"/>
                </w:rPr>
                <w:t>FASB 141 (Revised 2007) (as issued)</w:t>
              </w:r>
              <w:r w:rsidRPr="00E528C4">
                <w:rPr>
                  <w:rFonts w:ascii="Arial" w:hAnsi="Arial" w:cs="Arial"/>
                  <w:noProof/>
                  <w:lang w:val="en-GB"/>
                </w:rPr>
                <w:t xml:space="preserve">. </w:t>
              </w:r>
              <w:r w:rsidRPr="00E528C4">
                <w:rPr>
                  <w:rFonts w:ascii="Arial" w:hAnsi="Arial" w:cs="Arial"/>
                  <w:noProof/>
                </w:rPr>
                <w:t>Obtenido de 2007: http://www.fasb.org/pdf/fas141r.pdf</w:t>
              </w:r>
            </w:p>
            <w:p w:rsidR="00E528C4" w:rsidRPr="00E528C4" w:rsidRDefault="00E528C4" w:rsidP="00E528C4">
              <w:pPr>
                <w:pStyle w:val="Bibliografa"/>
                <w:ind w:left="720" w:hanging="720"/>
                <w:rPr>
                  <w:rFonts w:ascii="Arial" w:hAnsi="Arial" w:cs="Arial"/>
                  <w:noProof/>
                </w:rPr>
              </w:pPr>
              <w:r w:rsidRPr="00E528C4">
                <w:rPr>
                  <w:rFonts w:ascii="Arial" w:hAnsi="Arial" w:cs="Arial"/>
                  <w:noProof/>
                </w:rPr>
                <w:t xml:space="preserve">Forsythe, G. (2016). </w:t>
              </w:r>
              <w:r w:rsidRPr="00E528C4">
                <w:rPr>
                  <w:rFonts w:ascii="Arial" w:hAnsi="Arial" w:cs="Arial"/>
                  <w:i/>
                  <w:iCs/>
                  <w:noProof/>
                  <w:lang w:val="en-GB"/>
                </w:rPr>
                <w:t>The goodwill impairment dilemma| Deloitte US| Business valuation</w:t>
              </w:r>
              <w:r w:rsidRPr="00E528C4">
                <w:rPr>
                  <w:rFonts w:ascii="Arial" w:hAnsi="Arial" w:cs="Arial"/>
                  <w:noProof/>
                  <w:lang w:val="en-GB"/>
                </w:rPr>
                <w:t xml:space="preserve">. </w:t>
              </w:r>
              <w:r w:rsidRPr="00E528C4">
                <w:rPr>
                  <w:rFonts w:ascii="Arial" w:hAnsi="Arial" w:cs="Arial"/>
                  <w:noProof/>
                </w:rPr>
                <w:t>Obtenido de https://www2.deloitte.com/us/en/pages/advisory/articles/the-goodwill-impairment-dilemma.html</w:t>
              </w:r>
            </w:p>
            <w:p w:rsidR="00E528C4" w:rsidRPr="00E528C4" w:rsidRDefault="00E528C4" w:rsidP="00E528C4">
              <w:pPr>
                <w:pStyle w:val="Bibliografa"/>
                <w:ind w:left="720" w:hanging="720"/>
                <w:rPr>
                  <w:rFonts w:ascii="Arial" w:hAnsi="Arial" w:cs="Arial"/>
                  <w:noProof/>
                </w:rPr>
              </w:pPr>
              <w:r w:rsidRPr="00E528C4">
                <w:rPr>
                  <w:rFonts w:ascii="Arial" w:hAnsi="Arial" w:cs="Arial"/>
                  <w:noProof/>
                </w:rPr>
                <w:t>IASB. (2004). Norma Internacional de Información Financiera nº 3 (NIIF 3 (2004) Identificación de una combinación de negocios.</w:t>
              </w:r>
            </w:p>
            <w:p w:rsidR="00E528C4" w:rsidRPr="00E528C4" w:rsidRDefault="00E528C4" w:rsidP="00E528C4">
              <w:pPr>
                <w:pStyle w:val="Bibliografa"/>
                <w:ind w:left="720" w:hanging="720"/>
                <w:rPr>
                  <w:rFonts w:ascii="Arial" w:hAnsi="Arial" w:cs="Arial"/>
                  <w:noProof/>
                  <w:lang w:val="en-GB"/>
                </w:rPr>
              </w:pPr>
              <w:r w:rsidRPr="00E528C4">
                <w:rPr>
                  <w:rFonts w:ascii="Arial" w:hAnsi="Arial" w:cs="Arial"/>
                  <w:noProof/>
                  <w:lang w:val="en-GB"/>
                </w:rPr>
                <w:t>IASB. (2008). IAS 27 Consolidated and Separate Financial Statements International Accounting Standard 27 Consolidated and Separate Financial Statements.</w:t>
              </w:r>
            </w:p>
            <w:p w:rsidR="00E528C4" w:rsidRPr="00E528C4" w:rsidRDefault="00E528C4" w:rsidP="00E528C4">
              <w:pPr>
                <w:pStyle w:val="Bibliografa"/>
                <w:ind w:left="720" w:hanging="720"/>
                <w:rPr>
                  <w:rFonts w:ascii="Arial" w:hAnsi="Arial" w:cs="Arial"/>
                  <w:noProof/>
                  <w:lang w:val="en-GB"/>
                </w:rPr>
              </w:pPr>
              <w:r w:rsidRPr="00E528C4">
                <w:rPr>
                  <w:rFonts w:ascii="Arial" w:hAnsi="Arial" w:cs="Arial"/>
                  <w:noProof/>
                  <w:lang w:val="en-GB"/>
                </w:rPr>
                <w:t xml:space="preserve">IASB. (2008). </w:t>
              </w:r>
              <w:r w:rsidRPr="00E528C4">
                <w:rPr>
                  <w:rFonts w:ascii="Arial" w:hAnsi="Arial" w:cs="Arial"/>
                  <w:i/>
                  <w:iCs/>
                  <w:noProof/>
                  <w:lang w:val="en-GB"/>
                </w:rPr>
                <w:t>IAS 38 — Intangible Assets.</w:t>
              </w:r>
              <w:r w:rsidRPr="00E528C4">
                <w:rPr>
                  <w:rFonts w:ascii="Arial" w:hAnsi="Arial" w:cs="Arial"/>
                  <w:noProof/>
                  <w:lang w:val="en-GB"/>
                </w:rPr>
                <w:t xml:space="preserve"> </w:t>
              </w:r>
            </w:p>
            <w:p w:rsidR="00E528C4" w:rsidRPr="00E528C4" w:rsidRDefault="00E528C4" w:rsidP="00E528C4">
              <w:pPr>
                <w:pStyle w:val="Bibliografa"/>
                <w:ind w:left="720" w:hanging="720"/>
                <w:rPr>
                  <w:rFonts w:ascii="Arial" w:hAnsi="Arial" w:cs="Arial"/>
                  <w:noProof/>
                </w:rPr>
              </w:pPr>
              <w:r w:rsidRPr="00E528C4">
                <w:rPr>
                  <w:rFonts w:ascii="Arial" w:hAnsi="Arial" w:cs="Arial"/>
                  <w:noProof/>
                  <w:lang w:val="en-GB"/>
                </w:rPr>
                <w:t xml:space="preserve">IASB. </w:t>
              </w:r>
              <w:r w:rsidRPr="00E528C4">
                <w:rPr>
                  <w:rFonts w:ascii="Arial" w:hAnsi="Arial" w:cs="Arial"/>
                  <w:noProof/>
                </w:rPr>
                <w:t xml:space="preserve">(2008). </w:t>
              </w:r>
              <w:r w:rsidRPr="00E528C4">
                <w:rPr>
                  <w:rFonts w:ascii="Arial" w:hAnsi="Arial" w:cs="Arial"/>
                  <w:i/>
                  <w:iCs/>
                  <w:noProof/>
                </w:rPr>
                <w:t>Norma Internacional de Información Financiera nº 3 (NIIF 3) Identificación de una combinación de negocios.</w:t>
              </w:r>
              <w:r w:rsidRPr="00E528C4">
                <w:rPr>
                  <w:rFonts w:ascii="Arial" w:hAnsi="Arial" w:cs="Arial"/>
                  <w:noProof/>
                </w:rPr>
                <w:t xml:space="preserve"> </w:t>
              </w:r>
            </w:p>
            <w:p w:rsidR="00E528C4" w:rsidRPr="00E528C4" w:rsidRDefault="00E528C4" w:rsidP="00E528C4">
              <w:pPr>
                <w:pStyle w:val="Bibliografa"/>
                <w:ind w:left="720" w:hanging="720"/>
                <w:rPr>
                  <w:rFonts w:ascii="Arial" w:hAnsi="Arial" w:cs="Arial"/>
                  <w:noProof/>
                  <w:lang w:val="en-GB"/>
                </w:rPr>
              </w:pPr>
              <w:r w:rsidRPr="00E528C4">
                <w:rPr>
                  <w:rFonts w:ascii="Arial" w:hAnsi="Arial" w:cs="Arial"/>
                  <w:noProof/>
                  <w:lang w:val="en-GB"/>
                </w:rPr>
                <w:t xml:space="preserve">International Accounting Standards Board®. (2004). </w:t>
              </w:r>
              <w:r w:rsidRPr="00E528C4">
                <w:rPr>
                  <w:rFonts w:ascii="Arial" w:hAnsi="Arial" w:cs="Arial"/>
                  <w:i/>
                  <w:iCs/>
                  <w:noProof/>
                  <w:lang w:val="en-GB"/>
                </w:rPr>
                <w:t>IFRS 3 Business Combinations.</w:t>
              </w:r>
              <w:r w:rsidRPr="00E528C4">
                <w:rPr>
                  <w:rFonts w:ascii="Arial" w:hAnsi="Arial" w:cs="Arial"/>
                  <w:noProof/>
                  <w:lang w:val="en-GB"/>
                </w:rPr>
                <w:t xml:space="preserve"> </w:t>
              </w:r>
            </w:p>
            <w:p w:rsidR="00E528C4" w:rsidRPr="00E528C4" w:rsidRDefault="00E528C4" w:rsidP="00E528C4">
              <w:pPr>
                <w:pStyle w:val="Bibliografa"/>
                <w:ind w:left="720" w:hanging="720"/>
                <w:rPr>
                  <w:rFonts w:ascii="Arial" w:hAnsi="Arial" w:cs="Arial"/>
                  <w:noProof/>
                  <w:lang w:val="en-GB"/>
                </w:rPr>
              </w:pPr>
              <w:r w:rsidRPr="00E528C4">
                <w:rPr>
                  <w:rFonts w:ascii="Arial" w:hAnsi="Arial" w:cs="Arial"/>
                  <w:noProof/>
                  <w:lang w:val="en-GB"/>
                </w:rPr>
                <w:t>Richard D. Harroch and David A. Lipkin. (2014). 20 Key Due Diligence Activities In A Merger And Acquisition Transaction.</w:t>
              </w:r>
            </w:p>
            <w:p w:rsidR="00E528C4" w:rsidRPr="00E528C4" w:rsidRDefault="00E528C4" w:rsidP="00E528C4">
              <w:pPr>
                <w:pStyle w:val="Bibliografa"/>
                <w:ind w:left="720" w:hanging="720"/>
                <w:rPr>
                  <w:rFonts w:ascii="Arial" w:hAnsi="Arial" w:cs="Arial"/>
                  <w:noProof/>
                </w:rPr>
              </w:pPr>
              <w:r w:rsidRPr="00E528C4">
                <w:rPr>
                  <w:rFonts w:ascii="Arial" w:hAnsi="Arial" w:cs="Arial"/>
                  <w:noProof/>
                </w:rPr>
                <w:t xml:space="preserve">Ruiz Lamas, F. (2012). </w:t>
              </w:r>
              <w:r w:rsidRPr="00E528C4">
                <w:rPr>
                  <w:rFonts w:ascii="Arial" w:hAnsi="Arial" w:cs="Arial"/>
                  <w:i/>
                  <w:iCs/>
                  <w:noProof/>
                </w:rPr>
                <w:t>COMBINACIONES DE NEGOCIOS</w:t>
              </w:r>
              <w:r w:rsidRPr="00E528C4">
                <w:rPr>
                  <w:rFonts w:ascii="Arial" w:hAnsi="Arial" w:cs="Arial"/>
                  <w:noProof/>
                </w:rPr>
                <w:t>. Obtenido de http://www.economicas.udc.es/subido/Noticias/not20090212091856/FRUIZ_PGC_CN_UDC.pdf</w:t>
              </w:r>
            </w:p>
            <w:p w:rsidR="00E528C4" w:rsidRPr="00E528C4" w:rsidRDefault="00E528C4" w:rsidP="00E528C4">
              <w:pPr>
                <w:pStyle w:val="Bibliografa"/>
                <w:ind w:left="720" w:hanging="720"/>
                <w:rPr>
                  <w:rFonts w:ascii="Arial" w:hAnsi="Arial" w:cs="Arial"/>
                  <w:noProof/>
                </w:rPr>
              </w:pPr>
              <w:r w:rsidRPr="00E528C4">
                <w:rPr>
                  <w:rFonts w:ascii="Arial" w:hAnsi="Arial" w:cs="Arial"/>
                  <w:noProof/>
                </w:rPr>
                <w:t>Senderovich, P., &amp; D., P. (2014). Activos Intangibles: Estudio crítico de la integración de la categoría e inviabilidad de la asignación de vida útil indefinida.</w:t>
              </w:r>
            </w:p>
            <w:p w:rsidR="00E528C4" w:rsidRPr="00E528C4" w:rsidRDefault="00E528C4" w:rsidP="00E528C4">
              <w:pPr>
                <w:pStyle w:val="Bibliografa"/>
                <w:ind w:left="720" w:hanging="720"/>
                <w:rPr>
                  <w:rFonts w:ascii="Arial" w:hAnsi="Arial" w:cs="Arial"/>
                  <w:noProof/>
                  <w:lang w:val="en-GB"/>
                </w:rPr>
              </w:pPr>
              <w:r w:rsidRPr="00E528C4">
                <w:rPr>
                  <w:rFonts w:ascii="Arial" w:hAnsi="Arial" w:cs="Arial"/>
                  <w:noProof/>
                  <w:lang w:val="en-GB"/>
                </w:rPr>
                <w:t xml:space="preserve">South African Institute of Chartered Accountants. (s.f.). </w:t>
              </w:r>
              <w:r w:rsidRPr="00E528C4">
                <w:rPr>
                  <w:rFonts w:ascii="Arial" w:hAnsi="Arial" w:cs="Arial"/>
                  <w:i/>
                  <w:iCs/>
                  <w:noProof/>
                  <w:lang w:val="en-GB"/>
                </w:rPr>
                <w:t>IFRS 3, BUSINESS COMBINATIONS: OLD VS NEW – GAA Accounting.</w:t>
              </w:r>
              <w:r w:rsidRPr="00E528C4">
                <w:rPr>
                  <w:rFonts w:ascii="Arial" w:hAnsi="Arial" w:cs="Arial"/>
                  <w:noProof/>
                  <w:lang w:val="en-GB"/>
                </w:rPr>
                <w:t xml:space="preserve"> </w:t>
              </w:r>
            </w:p>
            <w:p w:rsidR="00E528C4" w:rsidRPr="00E528C4" w:rsidRDefault="00E528C4" w:rsidP="00E528C4">
              <w:pPr>
                <w:pStyle w:val="Bibliografa"/>
                <w:ind w:left="720" w:hanging="720"/>
                <w:rPr>
                  <w:rFonts w:ascii="Arial" w:hAnsi="Arial" w:cs="Arial"/>
                  <w:noProof/>
                  <w:lang w:val="en-GB"/>
                </w:rPr>
              </w:pPr>
              <w:r w:rsidRPr="00E528C4">
                <w:rPr>
                  <w:rFonts w:ascii="Arial" w:hAnsi="Arial" w:cs="Arial"/>
                  <w:noProof/>
                  <w:lang w:val="en-GB"/>
                </w:rPr>
                <w:t>WORLD COOPERATIVE MONITOR. (2016). EXPLORING THE CO-OPERATIVE ECONOMY THE 2016 WORLD CO-OPERATIVE MONITOR EXPLORING THE CO-OPERATIVE ECONOMY Strength and Impact.</w:t>
              </w:r>
            </w:p>
            <w:p w:rsidR="00E528C4" w:rsidRDefault="00E528C4" w:rsidP="00E528C4">
              <w:r w:rsidRPr="00E528C4">
                <w:rPr>
                  <w:rFonts w:ascii="Arial" w:hAnsi="Arial" w:cs="Arial"/>
                  <w:b/>
                  <w:bCs/>
                </w:rPr>
                <w:fldChar w:fldCharType="end"/>
              </w:r>
            </w:p>
          </w:sdtContent>
        </w:sdt>
      </w:sdtContent>
    </w:sdt>
    <w:sectPr w:rsidR="00E528C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FB8" w:rsidRDefault="00DC7FB8" w:rsidP="00D82797">
      <w:pPr>
        <w:spacing w:after="0"/>
      </w:pPr>
      <w:r>
        <w:separator/>
      </w:r>
    </w:p>
  </w:endnote>
  <w:endnote w:type="continuationSeparator" w:id="0">
    <w:p w:rsidR="00DC7FB8" w:rsidRDefault="00DC7FB8" w:rsidP="00D827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FB8" w:rsidRDefault="00DC7FB8" w:rsidP="00D82797">
      <w:pPr>
        <w:spacing w:after="0"/>
      </w:pPr>
      <w:r>
        <w:separator/>
      </w:r>
    </w:p>
  </w:footnote>
  <w:footnote w:type="continuationSeparator" w:id="0">
    <w:p w:rsidR="00DC7FB8" w:rsidRDefault="00DC7FB8" w:rsidP="00D82797">
      <w:pPr>
        <w:spacing w:after="0"/>
      </w:pPr>
      <w:r>
        <w:continuationSeparator/>
      </w:r>
    </w:p>
  </w:footnote>
  <w:footnote w:id="1">
    <w:p w:rsidR="004652F7" w:rsidRDefault="004652F7">
      <w:pPr>
        <w:pStyle w:val="Textonotapie"/>
      </w:pPr>
      <w:r>
        <w:t>(*) Autor de contacto: fpolo@cegea.upv.es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425EA"/>
    <w:multiLevelType w:val="hybridMultilevel"/>
    <w:tmpl w:val="9404072C"/>
    <w:lvl w:ilvl="0" w:tplc="0C823D2E">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97"/>
    <w:rsid w:val="00041B01"/>
    <w:rsid w:val="00053103"/>
    <w:rsid w:val="0007230D"/>
    <w:rsid w:val="000C6A28"/>
    <w:rsid w:val="000D468A"/>
    <w:rsid w:val="000D7409"/>
    <w:rsid w:val="000F2A8E"/>
    <w:rsid w:val="001425E0"/>
    <w:rsid w:val="001732BB"/>
    <w:rsid w:val="001A5D65"/>
    <w:rsid w:val="00257E41"/>
    <w:rsid w:val="002870B5"/>
    <w:rsid w:val="002B6B68"/>
    <w:rsid w:val="002E0FB8"/>
    <w:rsid w:val="00311ECE"/>
    <w:rsid w:val="003259DA"/>
    <w:rsid w:val="003306C8"/>
    <w:rsid w:val="00333C16"/>
    <w:rsid w:val="00353A26"/>
    <w:rsid w:val="00434BD5"/>
    <w:rsid w:val="004464BE"/>
    <w:rsid w:val="004652F7"/>
    <w:rsid w:val="00474E19"/>
    <w:rsid w:val="004934BE"/>
    <w:rsid w:val="004A5E93"/>
    <w:rsid w:val="004B5C1B"/>
    <w:rsid w:val="004F08FF"/>
    <w:rsid w:val="004F3F1E"/>
    <w:rsid w:val="00515FE8"/>
    <w:rsid w:val="00547E75"/>
    <w:rsid w:val="00626590"/>
    <w:rsid w:val="006E0D42"/>
    <w:rsid w:val="006F53E5"/>
    <w:rsid w:val="006F7749"/>
    <w:rsid w:val="007069B9"/>
    <w:rsid w:val="007376BF"/>
    <w:rsid w:val="007A7EB8"/>
    <w:rsid w:val="007D6AC1"/>
    <w:rsid w:val="007F45C3"/>
    <w:rsid w:val="00823E7D"/>
    <w:rsid w:val="00873FCC"/>
    <w:rsid w:val="008911BC"/>
    <w:rsid w:val="008E6F1A"/>
    <w:rsid w:val="008F6958"/>
    <w:rsid w:val="00900BDF"/>
    <w:rsid w:val="0092173B"/>
    <w:rsid w:val="009344A5"/>
    <w:rsid w:val="009C1D21"/>
    <w:rsid w:val="00A12F2F"/>
    <w:rsid w:val="00A67CBD"/>
    <w:rsid w:val="00AC7B2B"/>
    <w:rsid w:val="00AE362A"/>
    <w:rsid w:val="00B26260"/>
    <w:rsid w:val="00B41C7C"/>
    <w:rsid w:val="00B559DF"/>
    <w:rsid w:val="00B6341B"/>
    <w:rsid w:val="00B96B7B"/>
    <w:rsid w:val="00BB660F"/>
    <w:rsid w:val="00BC34BE"/>
    <w:rsid w:val="00C11B6A"/>
    <w:rsid w:val="00C52B39"/>
    <w:rsid w:val="00C552EA"/>
    <w:rsid w:val="00C56963"/>
    <w:rsid w:val="00C847D9"/>
    <w:rsid w:val="00CA4BE2"/>
    <w:rsid w:val="00CB108A"/>
    <w:rsid w:val="00CE38A1"/>
    <w:rsid w:val="00D42B00"/>
    <w:rsid w:val="00D82797"/>
    <w:rsid w:val="00DC7FB8"/>
    <w:rsid w:val="00E36760"/>
    <w:rsid w:val="00E44DA9"/>
    <w:rsid w:val="00E528C4"/>
    <w:rsid w:val="00E916DA"/>
    <w:rsid w:val="00F1179C"/>
    <w:rsid w:val="00F17591"/>
    <w:rsid w:val="00F6095C"/>
    <w:rsid w:val="00F74CE2"/>
    <w:rsid w:val="00F8477F"/>
    <w:rsid w:val="00FE06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71AA1-3A82-435C-97ED-56BE4764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8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732BB"/>
    <w:pPr>
      <w:keepNext/>
      <w:keepLines/>
      <w:numPr>
        <w:numId w:val="1"/>
      </w:numPr>
      <w:pBdr>
        <w:bottom w:val="thinThickThinMediumGap" w:sz="24" w:space="1" w:color="auto"/>
      </w:pBdr>
      <w:spacing w:before="240" w:after="0"/>
      <w:ind w:left="360"/>
      <w:outlineLvl w:val="0"/>
    </w:pPr>
    <w:rPr>
      <w:rFonts w:ascii="Century Gothic" w:eastAsiaTheme="majorEastAsia" w:hAnsi="Century Gothic" w:cstheme="majorBidi"/>
      <w:b/>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2797"/>
    <w:pPr>
      <w:tabs>
        <w:tab w:val="center" w:pos="4252"/>
        <w:tab w:val="right" w:pos="8504"/>
      </w:tabs>
      <w:spacing w:after="0"/>
    </w:pPr>
  </w:style>
  <w:style w:type="character" w:customStyle="1" w:styleId="EncabezadoCar">
    <w:name w:val="Encabezado Car"/>
    <w:basedOn w:val="Fuentedeprrafopredeter"/>
    <w:link w:val="Encabezado"/>
    <w:uiPriority w:val="99"/>
    <w:rsid w:val="00D82797"/>
  </w:style>
  <w:style w:type="paragraph" w:styleId="Piedepgina">
    <w:name w:val="footer"/>
    <w:basedOn w:val="Normal"/>
    <w:link w:val="PiedepginaCar"/>
    <w:uiPriority w:val="99"/>
    <w:unhideWhenUsed/>
    <w:rsid w:val="00D82797"/>
    <w:pPr>
      <w:tabs>
        <w:tab w:val="center" w:pos="4252"/>
        <w:tab w:val="right" w:pos="8504"/>
      </w:tabs>
      <w:spacing w:after="0"/>
    </w:pPr>
  </w:style>
  <w:style w:type="character" w:customStyle="1" w:styleId="PiedepginaCar">
    <w:name w:val="Pie de página Car"/>
    <w:basedOn w:val="Fuentedeprrafopredeter"/>
    <w:link w:val="Piedepgina"/>
    <w:uiPriority w:val="99"/>
    <w:rsid w:val="00D82797"/>
  </w:style>
  <w:style w:type="paragraph" w:styleId="Descripcin">
    <w:name w:val="caption"/>
    <w:basedOn w:val="Normal"/>
    <w:next w:val="Normal"/>
    <w:uiPriority w:val="35"/>
    <w:unhideWhenUsed/>
    <w:qFormat/>
    <w:rsid w:val="003306C8"/>
    <w:pPr>
      <w:spacing w:after="120"/>
      <w:jc w:val="left"/>
    </w:pPr>
    <w:rPr>
      <w:rFonts w:eastAsiaTheme="minorEastAsia"/>
      <w:b/>
      <w:bCs/>
      <w:smallCaps/>
      <w:color w:val="595959" w:themeColor="text1" w:themeTint="A6"/>
      <w:spacing w:val="6"/>
      <w:sz w:val="20"/>
      <w:szCs w:val="20"/>
    </w:rPr>
  </w:style>
  <w:style w:type="paragraph" w:styleId="Textodeglobo">
    <w:name w:val="Balloon Text"/>
    <w:basedOn w:val="Normal"/>
    <w:link w:val="TextodegloboCar"/>
    <w:uiPriority w:val="99"/>
    <w:semiHidden/>
    <w:unhideWhenUsed/>
    <w:rsid w:val="00E916DA"/>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6DA"/>
    <w:rPr>
      <w:rFonts w:ascii="Segoe UI" w:hAnsi="Segoe UI" w:cs="Segoe UI"/>
      <w:sz w:val="18"/>
      <w:szCs w:val="18"/>
    </w:rPr>
  </w:style>
  <w:style w:type="table" w:styleId="Tabladelista4">
    <w:name w:val="List Table 4"/>
    <w:basedOn w:val="Tablanormal"/>
    <w:uiPriority w:val="49"/>
    <w:rsid w:val="00E916DA"/>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6">
    <w:name w:val="List Table 2 Accent 6"/>
    <w:basedOn w:val="Tablanormal"/>
    <w:uiPriority w:val="47"/>
    <w:rsid w:val="00E916DA"/>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6concolores-nfasis4">
    <w:name w:val="Grid Table 6 Colorful Accent 4"/>
    <w:basedOn w:val="Tablanormal"/>
    <w:uiPriority w:val="51"/>
    <w:rsid w:val="00E916DA"/>
    <w:pPr>
      <w:spacing w:after="0"/>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6concolores-nfasis5">
    <w:name w:val="Grid Table 6 Colorful Accent 5"/>
    <w:basedOn w:val="Tablanormal"/>
    <w:uiPriority w:val="51"/>
    <w:rsid w:val="00E916DA"/>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tulo1Car">
    <w:name w:val="Título 1 Car"/>
    <w:basedOn w:val="Fuentedeprrafopredeter"/>
    <w:link w:val="Ttulo1"/>
    <w:uiPriority w:val="9"/>
    <w:rsid w:val="001732BB"/>
    <w:rPr>
      <w:rFonts w:ascii="Century Gothic" w:eastAsiaTheme="majorEastAsia" w:hAnsi="Century Gothic" w:cstheme="majorBidi"/>
      <w:b/>
      <w:color w:val="000000" w:themeColor="text1"/>
      <w:sz w:val="32"/>
      <w:szCs w:val="32"/>
    </w:rPr>
  </w:style>
  <w:style w:type="paragraph" w:styleId="Bibliografa">
    <w:name w:val="Bibliography"/>
    <w:basedOn w:val="Normal"/>
    <w:next w:val="Normal"/>
    <w:uiPriority w:val="37"/>
    <w:unhideWhenUsed/>
    <w:rsid w:val="00E528C4"/>
  </w:style>
  <w:style w:type="paragraph" w:styleId="Textonotapie">
    <w:name w:val="footnote text"/>
    <w:basedOn w:val="Normal"/>
    <w:link w:val="TextonotapieCar"/>
    <w:uiPriority w:val="99"/>
    <w:semiHidden/>
    <w:unhideWhenUsed/>
    <w:rsid w:val="004652F7"/>
    <w:pPr>
      <w:spacing w:after="0"/>
    </w:pPr>
    <w:rPr>
      <w:sz w:val="20"/>
      <w:szCs w:val="20"/>
    </w:rPr>
  </w:style>
  <w:style w:type="character" w:customStyle="1" w:styleId="TextonotapieCar">
    <w:name w:val="Texto nota pie Car"/>
    <w:basedOn w:val="Fuentedeprrafopredeter"/>
    <w:link w:val="Textonotapie"/>
    <w:uiPriority w:val="99"/>
    <w:semiHidden/>
    <w:rsid w:val="004652F7"/>
    <w:rPr>
      <w:sz w:val="20"/>
      <w:szCs w:val="20"/>
    </w:rPr>
  </w:style>
  <w:style w:type="character" w:styleId="Refdenotaalpie">
    <w:name w:val="footnote reference"/>
    <w:basedOn w:val="Fuentedeprrafopredeter"/>
    <w:uiPriority w:val="99"/>
    <w:semiHidden/>
    <w:unhideWhenUsed/>
    <w:rsid w:val="004652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5700">
      <w:bodyDiv w:val="1"/>
      <w:marLeft w:val="0"/>
      <w:marRight w:val="0"/>
      <w:marTop w:val="0"/>
      <w:marBottom w:val="0"/>
      <w:divBdr>
        <w:top w:val="none" w:sz="0" w:space="0" w:color="auto"/>
        <w:left w:val="none" w:sz="0" w:space="0" w:color="auto"/>
        <w:bottom w:val="none" w:sz="0" w:space="0" w:color="auto"/>
        <w:right w:val="none" w:sz="0" w:space="0" w:color="auto"/>
      </w:divBdr>
    </w:div>
    <w:div w:id="359167396">
      <w:bodyDiv w:val="1"/>
      <w:marLeft w:val="0"/>
      <w:marRight w:val="0"/>
      <w:marTop w:val="0"/>
      <w:marBottom w:val="0"/>
      <w:divBdr>
        <w:top w:val="none" w:sz="0" w:space="0" w:color="auto"/>
        <w:left w:val="none" w:sz="0" w:space="0" w:color="auto"/>
        <w:bottom w:val="none" w:sz="0" w:space="0" w:color="auto"/>
        <w:right w:val="none" w:sz="0" w:space="0" w:color="auto"/>
      </w:divBdr>
    </w:div>
    <w:div w:id="507595589">
      <w:bodyDiv w:val="1"/>
      <w:marLeft w:val="0"/>
      <w:marRight w:val="0"/>
      <w:marTop w:val="0"/>
      <w:marBottom w:val="0"/>
      <w:divBdr>
        <w:top w:val="none" w:sz="0" w:space="0" w:color="auto"/>
        <w:left w:val="none" w:sz="0" w:space="0" w:color="auto"/>
        <w:bottom w:val="none" w:sz="0" w:space="0" w:color="auto"/>
        <w:right w:val="none" w:sz="0" w:space="0" w:color="auto"/>
      </w:divBdr>
    </w:div>
    <w:div w:id="568926315">
      <w:bodyDiv w:val="1"/>
      <w:marLeft w:val="0"/>
      <w:marRight w:val="0"/>
      <w:marTop w:val="0"/>
      <w:marBottom w:val="0"/>
      <w:divBdr>
        <w:top w:val="none" w:sz="0" w:space="0" w:color="auto"/>
        <w:left w:val="none" w:sz="0" w:space="0" w:color="auto"/>
        <w:bottom w:val="none" w:sz="0" w:space="0" w:color="auto"/>
        <w:right w:val="none" w:sz="0" w:space="0" w:color="auto"/>
      </w:divBdr>
    </w:div>
    <w:div w:id="951400007">
      <w:bodyDiv w:val="1"/>
      <w:marLeft w:val="0"/>
      <w:marRight w:val="0"/>
      <w:marTop w:val="0"/>
      <w:marBottom w:val="0"/>
      <w:divBdr>
        <w:top w:val="none" w:sz="0" w:space="0" w:color="auto"/>
        <w:left w:val="none" w:sz="0" w:space="0" w:color="auto"/>
        <w:bottom w:val="none" w:sz="0" w:space="0" w:color="auto"/>
        <w:right w:val="none" w:sz="0" w:space="0" w:color="auto"/>
      </w:divBdr>
    </w:div>
    <w:div w:id="1247958895">
      <w:bodyDiv w:val="1"/>
      <w:marLeft w:val="0"/>
      <w:marRight w:val="0"/>
      <w:marTop w:val="0"/>
      <w:marBottom w:val="0"/>
      <w:divBdr>
        <w:top w:val="none" w:sz="0" w:space="0" w:color="auto"/>
        <w:left w:val="none" w:sz="0" w:space="0" w:color="auto"/>
        <w:bottom w:val="none" w:sz="0" w:space="0" w:color="auto"/>
        <w:right w:val="none" w:sz="0" w:space="0" w:color="auto"/>
      </w:divBdr>
    </w:div>
    <w:div w:id="1356808426">
      <w:bodyDiv w:val="1"/>
      <w:marLeft w:val="0"/>
      <w:marRight w:val="0"/>
      <w:marTop w:val="0"/>
      <w:marBottom w:val="0"/>
      <w:divBdr>
        <w:top w:val="none" w:sz="0" w:space="0" w:color="auto"/>
        <w:left w:val="none" w:sz="0" w:space="0" w:color="auto"/>
        <w:bottom w:val="none" w:sz="0" w:space="0" w:color="auto"/>
        <w:right w:val="none" w:sz="0" w:space="0" w:color="auto"/>
      </w:divBdr>
    </w:div>
    <w:div w:id="1423181611">
      <w:bodyDiv w:val="1"/>
      <w:marLeft w:val="0"/>
      <w:marRight w:val="0"/>
      <w:marTop w:val="0"/>
      <w:marBottom w:val="0"/>
      <w:divBdr>
        <w:top w:val="none" w:sz="0" w:space="0" w:color="auto"/>
        <w:left w:val="none" w:sz="0" w:space="0" w:color="auto"/>
        <w:bottom w:val="none" w:sz="0" w:space="0" w:color="auto"/>
        <w:right w:val="none" w:sz="0" w:space="0" w:color="auto"/>
      </w:divBdr>
    </w:div>
    <w:div w:id="1494105951">
      <w:bodyDiv w:val="1"/>
      <w:marLeft w:val="0"/>
      <w:marRight w:val="0"/>
      <w:marTop w:val="0"/>
      <w:marBottom w:val="0"/>
      <w:divBdr>
        <w:top w:val="none" w:sz="0" w:space="0" w:color="auto"/>
        <w:left w:val="none" w:sz="0" w:space="0" w:color="auto"/>
        <w:bottom w:val="none" w:sz="0" w:space="0" w:color="auto"/>
        <w:right w:val="none" w:sz="0" w:space="0" w:color="auto"/>
      </w:divBdr>
    </w:div>
    <w:div w:id="1660956896">
      <w:bodyDiv w:val="1"/>
      <w:marLeft w:val="0"/>
      <w:marRight w:val="0"/>
      <w:marTop w:val="0"/>
      <w:marBottom w:val="0"/>
      <w:divBdr>
        <w:top w:val="none" w:sz="0" w:space="0" w:color="auto"/>
        <w:left w:val="none" w:sz="0" w:space="0" w:color="auto"/>
        <w:bottom w:val="none" w:sz="0" w:space="0" w:color="auto"/>
        <w:right w:val="none" w:sz="0" w:space="0" w:color="auto"/>
      </w:divBdr>
    </w:div>
    <w:div w:id="1984574747">
      <w:bodyDiv w:val="1"/>
      <w:marLeft w:val="0"/>
      <w:marRight w:val="0"/>
      <w:marTop w:val="0"/>
      <w:marBottom w:val="0"/>
      <w:divBdr>
        <w:top w:val="none" w:sz="0" w:space="0" w:color="auto"/>
        <w:left w:val="none" w:sz="0" w:space="0" w:color="auto"/>
        <w:bottom w:val="none" w:sz="0" w:space="0" w:color="auto"/>
        <w:right w:val="none" w:sz="0" w:space="0" w:color="auto"/>
      </w:divBdr>
    </w:div>
    <w:div w:id="209546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E:\Estudios\MASTER%20DIRECCION%20FISCAL%20Y%20FINANCIERA\TRABAJO%20FINAL%20DE%20M&#193;STER\CHECK%20LIST\fina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Estudios\MASTER%20DIRECCION%20FISCAL%20Y%20FINANCIERA\TRABAJO%20FINAL%20DE%20M&#193;STER\CHECK%20LIST\fina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Estudios\MASTER%20DIRECCION%20FISCAL%20Y%20FINANCIERA\TRABAJO%20FINAL%20DE%20M&#193;STER\POWER%20POINT\Libro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Estudios\MASTER%20DIRECCION%20FISCAL%20Y%20FINANCIERA\TRABAJO%20FINAL%20DE%20M&#193;STER\POWER%20POINT\Libro1.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Distribución</a:t>
            </a:r>
            <a:r>
              <a:rPr lang="es-ES" baseline="0"/>
              <a:t> de la muestra de entidades cooperativas para la primera comprobación (2009, 2010, 2015-2016)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F01-45F9-8466-9DB709BD7F0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F01-45F9-8466-9DB709BD7F0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F01-45F9-8466-9DB709BD7F0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F01-45F9-8466-9DB709BD7F0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F01-45F9-8466-9DB709BD7F0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'TOP 30 2010'!$AE$49:$AE$53</c:f>
              <c:strCache>
                <c:ptCount val="5"/>
                <c:pt idx="0">
                  <c:v>ACTUARIAL</c:v>
                </c:pt>
                <c:pt idx="1">
                  <c:v>INDUSTRIAL</c:v>
                </c:pt>
                <c:pt idx="2">
                  <c:v>AGRICULTURA E INDUSTRIA DE ALIMENTACIÓN</c:v>
                </c:pt>
                <c:pt idx="3">
                  <c:v>BANCARIO</c:v>
                </c:pt>
                <c:pt idx="4">
                  <c:v>COMERCIAL Y ALIMENTACIÓN</c:v>
                </c:pt>
              </c:strCache>
            </c:strRef>
          </c:cat>
          <c:val>
            <c:numRef>
              <c:f>'TOP 30 2010'!$AF$49:$AF$53</c:f>
              <c:numCache>
                <c:formatCode>General</c:formatCode>
                <c:ptCount val="5"/>
                <c:pt idx="0">
                  <c:v>14</c:v>
                </c:pt>
                <c:pt idx="1">
                  <c:v>1</c:v>
                </c:pt>
                <c:pt idx="2">
                  <c:v>9</c:v>
                </c:pt>
                <c:pt idx="3">
                  <c:v>3</c:v>
                </c:pt>
                <c:pt idx="4">
                  <c:v>3</c:v>
                </c:pt>
              </c:numCache>
            </c:numRef>
          </c:val>
          <c:extLst>
            <c:ext xmlns:c16="http://schemas.microsoft.com/office/drawing/2014/chart" uri="{C3380CC4-5D6E-409C-BE32-E72D297353CC}">
              <c16:uniqueId val="{0000000A-6F01-45F9-8466-9DB709BD7F0B}"/>
            </c:ext>
          </c:extLst>
        </c:ser>
        <c:dLbls>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Referencia</a:t>
            </a:r>
            <a:r>
              <a:rPr lang="es-ES" baseline="0"/>
              <a:t> del marco normativo internacional aplicada a la combinación de negocios</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908-4F6F-B984-4BB75A18D1F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908-4F6F-B984-4BB75A18D1F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908-4F6F-B984-4BB75A18D1F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908-4F6F-B984-4BB75A18D1F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908-4F6F-B984-4BB75A18D1F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'TOP 30 2010'!$AE$59:$AE$63</c:f>
              <c:strCache>
                <c:ptCount val="5"/>
                <c:pt idx="0">
                  <c:v>IFRS</c:v>
                </c:pt>
                <c:pt idx="1">
                  <c:v>GAAP</c:v>
                </c:pt>
                <c:pt idx="2">
                  <c:v>NO INDICA</c:v>
                </c:pt>
                <c:pt idx="3">
                  <c:v>ASBJ</c:v>
                </c:pt>
                <c:pt idx="4">
                  <c:v>SWISS GAAP</c:v>
                </c:pt>
              </c:strCache>
            </c:strRef>
          </c:cat>
          <c:val>
            <c:numRef>
              <c:f>'TOP 30 2010'!$AF$59:$AF$63</c:f>
              <c:numCache>
                <c:formatCode>General</c:formatCode>
                <c:ptCount val="5"/>
                <c:pt idx="0">
                  <c:v>21</c:v>
                </c:pt>
                <c:pt idx="1">
                  <c:v>4</c:v>
                </c:pt>
                <c:pt idx="2">
                  <c:v>3</c:v>
                </c:pt>
                <c:pt idx="3">
                  <c:v>1</c:v>
                </c:pt>
                <c:pt idx="4">
                  <c:v>1</c:v>
                </c:pt>
              </c:numCache>
            </c:numRef>
          </c:val>
          <c:extLst>
            <c:ext xmlns:c16="http://schemas.microsoft.com/office/drawing/2014/chart" uri="{C3380CC4-5D6E-409C-BE32-E72D297353CC}">
              <c16:uniqueId val="{0000000A-6908-4F6F-B984-4BB75A18D1F4}"/>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Century Gothic" panose="020B0502020202020204" pitchFamily="34" charset="0"/>
                <a:ea typeface="+mn-ea"/>
                <a:cs typeface="+mn-cs"/>
              </a:defRPr>
            </a:pPr>
            <a:r>
              <a:rPr lang="es-ES" sz="1200" dirty="0">
                <a:latin typeface="Century Gothic" panose="020B0502020202020204" pitchFamily="34" charset="0"/>
                <a:cs typeface="Calibri" panose="020F0502020204030204" pitchFamily="34" charset="0"/>
              </a:rPr>
              <a:t>Evolución de la divulgación media de los ítem más relevantes en las combinaciones de negocios por normativa aplicada</a:t>
            </a:r>
          </a:p>
        </c:rich>
      </c:tx>
      <c:overlay val="0"/>
      <c:spPr>
        <a:noFill/>
        <a:ln>
          <a:noFill/>
        </a:ln>
        <a:effectLst/>
      </c:spPr>
      <c:txPr>
        <a:bodyPr rot="0" spcFirstLastPara="1" vertOverflow="ellipsis" vert="horz" wrap="square" anchor="ctr" anchorCtr="1"/>
        <a:lstStyle/>
        <a:p>
          <a:pPr>
            <a:defRPr sz="12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Century Gothic" panose="020B0502020202020204" pitchFamily="34" charset="0"/>
              <a:ea typeface="+mn-ea"/>
              <a:cs typeface="+mn-cs"/>
            </a:defRPr>
          </a:pPr>
          <a:endParaRPr lang="es-ES"/>
        </a:p>
      </c:txPr>
    </c:title>
    <c:autoTitleDeleted val="0"/>
    <c:plotArea>
      <c:layout/>
      <c:lineChart>
        <c:grouping val="standard"/>
        <c:varyColors val="0"/>
        <c:ser>
          <c:idx val="0"/>
          <c:order val="0"/>
          <c:tx>
            <c:strRef>
              <c:f>[Libro1.xlsx]Hoja1!$K$37</c:f>
              <c:strCache>
                <c:ptCount val="1"/>
                <c:pt idx="0">
                  <c:v>IFRS</c:v>
                </c:pt>
              </c:strCache>
            </c:strRef>
          </c:tx>
          <c:spPr>
            <a:ln w="34925" cap="rnd">
              <a:solidFill>
                <a:schemeClr val="accent1"/>
              </a:solidFill>
              <a:round/>
            </a:ln>
            <a:effectLst>
              <a:outerShdw blurRad="40000" dist="23000" dir="5400000" rotWithShape="0">
                <a:srgbClr val="000000">
                  <a:alpha val="35000"/>
                </a:srgbClr>
              </a:outerShdw>
            </a:effectLst>
          </c:spPr>
          <c:marker>
            <c:symbol val="none"/>
          </c:marker>
          <c:cat>
            <c:strRef>
              <c:f>[Libro1.xlsx]Hoja1!$L$36:$N$36</c:f>
              <c:strCache>
                <c:ptCount val="3"/>
                <c:pt idx="0">
                  <c:v>2009</c:v>
                </c:pt>
                <c:pt idx="1">
                  <c:v>2010</c:v>
                </c:pt>
                <c:pt idx="2">
                  <c:v>2015-2016</c:v>
                </c:pt>
              </c:strCache>
            </c:strRef>
          </c:cat>
          <c:val>
            <c:numRef>
              <c:f>[Libro1.xlsx]Hoja1!$L$37:$N$37</c:f>
              <c:numCache>
                <c:formatCode>0.00%</c:formatCode>
                <c:ptCount val="3"/>
                <c:pt idx="0">
                  <c:v>0.51100000000000001</c:v>
                </c:pt>
                <c:pt idx="1">
                  <c:v>0.54200000000000004</c:v>
                </c:pt>
                <c:pt idx="2">
                  <c:v>0.61499999999999999</c:v>
                </c:pt>
              </c:numCache>
            </c:numRef>
          </c:val>
          <c:smooth val="0"/>
          <c:extLst>
            <c:ext xmlns:c16="http://schemas.microsoft.com/office/drawing/2014/chart" uri="{C3380CC4-5D6E-409C-BE32-E72D297353CC}">
              <c16:uniqueId val="{00000000-FC4F-4E9E-9824-3558192F501C}"/>
            </c:ext>
          </c:extLst>
        </c:ser>
        <c:ser>
          <c:idx val="1"/>
          <c:order val="1"/>
          <c:tx>
            <c:strRef>
              <c:f>[Libro1.xlsx]Hoja1!$K$38</c:f>
              <c:strCache>
                <c:ptCount val="1"/>
                <c:pt idx="0">
                  <c:v>FASB</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cat>
            <c:strRef>
              <c:f>[Libro1.xlsx]Hoja1!$L$36:$N$36</c:f>
              <c:strCache>
                <c:ptCount val="3"/>
                <c:pt idx="0">
                  <c:v>2009</c:v>
                </c:pt>
                <c:pt idx="1">
                  <c:v>2010</c:v>
                </c:pt>
                <c:pt idx="2">
                  <c:v>2015-2016</c:v>
                </c:pt>
              </c:strCache>
            </c:strRef>
          </c:cat>
          <c:val>
            <c:numRef>
              <c:f>[Libro1.xlsx]Hoja1!$L$38:$N$38</c:f>
              <c:numCache>
                <c:formatCode>0.00%</c:formatCode>
                <c:ptCount val="3"/>
                <c:pt idx="0">
                  <c:v>0.37</c:v>
                </c:pt>
                <c:pt idx="1">
                  <c:v>0.44600000000000001</c:v>
                </c:pt>
                <c:pt idx="2">
                  <c:v>0.40200000000000002</c:v>
                </c:pt>
              </c:numCache>
            </c:numRef>
          </c:val>
          <c:smooth val="0"/>
          <c:extLst>
            <c:ext xmlns:c16="http://schemas.microsoft.com/office/drawing/2014/chart" uri="{C3380CC4-5D6E-409C-BE32-E72D297353CC}">
              <c16:uniqueId val="{00000001-FC4F-4E9E-9824-3558192F501C}"/>
            </c:ext>
          </c:extLst>
        </c:ser>
        <c:ser>
          <c:idx val="2"/>
          <c:order val="2"/>
          <c:tx>
            <c:strRef>
              <c:f>[Libro1.xlsx]Hoja1!$K$39</c:f>
              <c:strCache>
                <c:ptCount val="1"/>
                <c:pt idx="0">
                  <c:v>SWISS GAAP</c:v>
                </c:pt>
              </c:strCache>
            </c:strRef>
          </c:tx>
          <c:spPr>
            <a:ln w="34925" cap="rnd">
              <a:solidFill>
                <a:schemeClr val="accent3"/>
              </a:solidFill>
              <a:round/>
            </a:ln>
            <a:effectLst>
              <a:outerShdw blurRad="40000" dist="23000" dir="5400000" rotWithShape="0">
                <a:srgbClr val="000000">
                  <a:alpha val="35000"/>
                </a:srgbClr>
              </a:outerShdw>
            </a:effectLst>
          </c:spPr>
          <c:marker>
            <c:symbol val="none"/>
          </c:marker>
          <c:cat>
            <c:strRef>
              <c:f>[Libro1.xlsx]Hoja1!$L$36:$N$36</c:f>
              <c:strCache>
                <c:ptCount val="3"/>
                <c:pt idx="0">
                  <c:v>2009</c:v>
                </c:pt>
                <c:pt idx="1">
                  <c:v>2010</c:v>
                </c:pt>
                <c:pt idx="2">
                  <c:v>2015-2016</c:v>
                </c:pt>
              </c:strCache>
            </c:strRef>
          </c:cat>
          <c:val>
            <c:numRef>
              <c:f>[Libro1.xlsx]Hoja1!$L$39:$N$39</c:f>
              <c:numCache>
                <c:formatCode>0.00%</c:formatCode>
                <c:ptCount val="3"/>
                <c:pt idx="0">
                  <c:v>0.60899999999999999</c:v>
                </c:pt>
                <c:pt idx="1">
                  <c:v>0.60899999999999999</c:v>
                </c:pt>
                <c:pt idx="2">
                  <c:v>0.65200000000000002</c:v>
                </c:pt>
              </c:numCache>
            </c:numRef>
          </c:val>
          <c:smooth val="0"/>
          <c:extLst>
            <c:ext xmlns:c16="http://schemas.microsoft.com/office/drawing/2014/chart" uri="{C3380CC4-5D6E-409C-BE32-E72D297353CC}">
              <c16:uniqueId val="{00000002-FC4F-4E9E-9824-3558192F501C}"/>
            </c:ext>
          </c:extLst>
        </c:ser>
        <c:ser>
          <c:idx val="3"/>
          <c:order val="3"/>
          <c:tx>
            <c:strRef>
              <c:f>[Libro1.xlsx]Hoja1!$K$40</c:f>
              <c:strCache>
                <c:ptCount val="1"/>
                <c:pt idx="0">
                  <c:v>ASBJ</c:v>
                </c:pt>
              </c:strCache>
            </c:strRef>
          </c:tx>
          <c:spPr>
            <a:ln w="34925" cap="rnd">
              <a:solidFill>
                <a:schemeClr val="accent4"/>
              </a:solidFill>
              <a:round/>
            </a:ln>
            <a:effectLst>
              <a:outerShdw blurRad="40000" dist="23000" dir="5400000" rotWithShape="0">
                <a:srgbClr val="000000">
                  <a:alpha val="35000"/>
                </a:srgbClr>
              </a:outerShdw>
            </a:effectLst>
          </c:spPr>
          <c:marker>
            <c:symbol val="none"/>
          </c:marker>
          <c:cat>
            <c:strRef>
              <c:f>[Libro1.xlsx]Hoja1!$L$36:$N$36</c:f>
              <c:strCache>
                <c:ptCount val="3"/>
                <c:pt idx="0">
                  <c:v>2009</c:v>
                </c:pt>
                <c:pt idx="1">
                  <c:v>2010</c:v>
                </c:pt>
                <c:pt idx="2">
                  <c:v>2015-2016</c:v>
                </c:pt>
              </c:strCache>
            </c:strRef>
          </c:cat>
          <c:val>
            <c:numRef>
              <c:f>[Libro1.xlsx]Hoja1!$L$40:$N$40</c:f>
              <c:numCache>
                <c:formatCode>0.00%</c:formatCode>
                <c:ptCount val="3"/>
                <c:pt idx="0">
                  <c:v>0.56499999999999995</c:v>
                </c:pt>
                <c:pt idx="1">
                  <c:v>0.56499999999999995</c:v>
                </c:pt>
                <c:pt idx="2">
                  <c:v>0.60899999999999999</c:v>
                </c:pt>
              </c:numCache>
            </c:numRef>
          </c:val>
          <c:smooth val="0"/>
          <c:extLst>
            <c:ext xmlns:c16="http://schemas.microsoft.com/office/drawing/2014/chart" uri="{C3380CC4-5D6E-409C-BE32-E72D297353CC}">
              <c16:uniqueId val="{00000003-FC4F-4E9E-9824-3558192F501C}"/>
            </c:ext>
          </c:extLst>
        </c:ser>
        <c:dLbls>
          <c:showLegendKey val="0"/>
          <c:showVal val="0"/>
          <c:showCatName val="0"/>
          <c:showSerName val="0"/>
          <c:showPercent val="0"/>
          <c:showBubbleSize val="0"/>
        </c:dLbls>
        <c:smooth val="0"/>
        <c:axId val="611229272"/>
        <c:axId val="611227304"/>
      </c:lineChart>
      <c:catAx>
        <c:axId val="611229272"/>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s-ES"/>
          </a:p>
        </c:txPr>
        <c:crossAx val="611227304"/>
        <c:crosses val="autoZero"/>
        <c:auto val="1"/>
        <c:lblAlgn val="ctr"/>
        <c:lblOffset val="100"/>
        <c:noMultiLvlLbl val="0"/>
      </c:catAx>
      <c:valAx>
        <c:axId val="611227304"/>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s-ES"/>
          </a:p>
        </c:txPr>
        <c:crossAx val="611229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s-E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E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ES" sz="1200" dirty="0">
                <a:latin typeface="Century Gothic" panose="020B0502020202020204" pitchFamily="34" charset="0"/>
                <a:cs typeface="Calibri" panose="020F0502020204030204" pitchFamily="34" charset="0"/>
              </a:rPr>
              <a:t>Índice de divulgación medio  por sector de los ítem más relevantes en las combinaciones de negocios </a:t>
            </a:r>
          </a:p>
        </c:rich>
      </c:tx>
      <c:overlay val="0"/>
      <c:spPr>
        <a:noFill/>
        <a:ln>
          <a:noFill/>
        </a:ln>
        <a:effectLst/>
      </c:spPr>
      <c:txPr>
        <a:bodyPr rot="0" spcFirstLastPara="1" vertOverflow="ellipsis" vert="horz" wrap="square" anchor="ctr" anchorCtr="1"/>
        <a:lstStyle/>
        <a:p>
          <a:pPr>
            <a:defRPr sz="2128"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ES"/>
        </a:p>
      </c:txPr>
    </c:title>
    <c:autoTitleDeleted val="0"/>
    <c:plotArea>
      <c:layout/>
      <c:lineChart>
        <c:grouping val="standard"/>
        <c:varyColors val="0"/>
        <c:ser>
          <c:idx val="0"/>
          <c:order val="0"/>
          <c:tx>
            <c:strRef>
              <c:f>[Libro1.xlsx]Hoja1!$K$60</c:f>
              <c:strCache>
                <c:ptCount val="1"/>
                <c:pt idx="0">
                  <c:v>ACTUARIAL</c:v>
                </c:pt>
              </c:strCache>
            </c:strRef>
          </c:tx>
          <c:spPr>
            <a:ln w="34925" cap="rnd">
              <a:solidFill>
                <a:schemeClr val="accent1"/>
              </a:solidFill>
              <a:round/>
            </a:ln>
            <a:effectLst>
              <a:outerShdw blurRad="40000" dist="23000" dir="5400000" rotWithShape="0">
                <a:srgbClr val="000000">
                  <a:alpha val="35000"/>
                </a:srgbClr>
              </a:outerShdw>
            </a:effectLst>
          </c:spPr>
          <c:marker>
            <c:symbol val="none"/>
          </c:marker>
          <c:cat>
            <c:strRef>
              <c:f>[Libro1.xlsx]Hoja1!$L$36:$N$36</c:f>
              <c:strCache>
                <c:ptCount val="3"/>
                <c:pt idx="0">
                  <c:v>2009</c:v>
                </c:pt>
                <c:pt idx="1">
                  <c:v>2010</c:v>
                </c:pt>
                <c:pt idx="2">
                  <c:v>2015-2016</c:v>
                </c:pt>
              </c:strCache>
            </c:strRef>
          </c:cat>
          <c:val>
            <c:numRef>
              <c:f>[Libro1.xlsx]Hoja1!$L$60:$N$60</c:f>
              <c:numCache>
                <c:formatCode>0.00%</c:formatCode>
                <c:ptCount val="3"/>
                <c:pt idx="0">
                  <c:v>0.46889999999999998</c:v>
                </c:pt>
                <c:pt idx="1">
                  <c:v>0.53420000000000001</c:v>
                </c:pt>
                <c:pt idx="2">
                  <c:v>0.5776</c:v>
                </c:pt>
              </c:numCache>
            </c:numRef>
          </c:val>
          <c:smooth val="0"/>
          <c:extLst>
            <c:ext xmlns:c16="http://schemas.microsoft.com/office/drawing/2014/chart" uri="{C3380CC4-5D6E-409C-BE32-E72D297353CC}">
              <c16:uniqueId val="{00000000-B258-434D-8130-D219F2E8E244}"/>
            </c:ext>
          </c:extLst>
        </c:ser>
        <c:ser>
          <c:idx val="1"/>
          <c:order val="1"/>
          <c:tx>
            <c:strRef>
              <c:f>[Libro1.xlsx]Hoja1!$K$61</c:f>
              <c:strCache>
                <c:ptCount val="1"/>
                <c:pt idx="0">
                  <c:v>AGRICULTURA Y ALIMENTACIÓN</c:v>
                </c:pt>
              </c:strCache>
            </c:strRef>
          </c:tx>
          <c:spPr>
            <a:ln w="34925" cap="rnd">
              <a:solidFill>
                <a:schemeClr val="accent2"/>
              </a:solidFill>
              <a:round/>
            </a:ln>
            <a:effectLst>
              <a:outerShdw blurRad="40000" dist="23000" dir="5400000" rotWithShape="0">
                <a:srgbClr val="000000">
                  <a:alpha val="35000"/>
                </a:srgbClr>
              </a:outerShdw>
            </a:effectLst>
          </c:spPr>
          <c:marker>
            <c:symbol val="none"/>
          </c:marker>
          <c:cat>
            <c:strRef>
              <c:f>[Libro1.xlsx]Hoja1!$L$36:$N$36</c:f>
              <c:strCache>
                <c:ptCount val="3"/>
                <c:pt idx="0">
                  <c:v>2009</c:v>
                </c:pt>
                <c:pt idx="1">
                  <c:v>2010</c:v>
                </c:pt>
                <c:pt idx="2">
                  <c:v>2015-2016</c:v>
                </c:pt>
              </c:strCache>
            </c:strRef>
          </c:cat>
          <c:val>
            <c:numRef>
              <c:f>[Libro1.xlsx]Hoja1!$L$61:$N$61</c:f>
              <c:numCache>
                <c:formatCode>0.00%</c:formatCode>
                <c:ptCount val="3"/>
                <c:pt idx="0">
                  <c:v>0.54590000000000005</c:v>
                </c:pt>
                <c:pt idx="1">
                  <c:v>0.55559999999999998</c:v>
                </c:pt>
                <c:pt idx="2">
                  <c:v>0.65700000000000003</c:v>
                </c:pt>
              </c:numCache>
            </c:numRef>
          </c:val>
          <c:smooth val="0"/>
          <c:extLst>
            <c:ext xmlns:c16="http://schemas.microsoft.com/office/drawing/2014/chart" uri="{C3380CC4-5D6E-409C-BE32-E72D297353CC}">
              <c16:uniqueId val="{00000001-B258-434D-8130-D219F2E8E244}"/>
            </c:ext>
          </c:extLst>
        </c:ser>
        <c:ser>
          <c:idx val="2"/>
          <c:order val="2"/>
          <c:tx>
            <c:strRef>
              <c:f>[Libro1.xlsx]Hoja1!$K$62</c:f>
              <c:strCache>
                <c:ptCount val="1"/>
                <c:pt idx="0">
                  <c:v>BANCARIO</c:v>
                </c:pt>
              </c:strCache>
            </c:strRef>
          </c:tx>
          <c:spPr>
            <a:ln w="34925" cap="rnd">
              <a:solidFill>
                <a:schemeClr val="accent3"/>
              </a:solidFill>
              <a:round/>
            </a:ln>
            <a:effectLst>
              <a:outerShdw blurRad="40000" dist="23000" dir="5400000" rotWithShape="0">
                <a:srgbClr val="000000">
                  <a:alpha val="35000"/>
                </a:srgbClr>
              </a:outerShdw>
            </a:effectLst>
          </c:spPr>
          <c:marker>
            <c:symbol val="none"/>
          </c:marker>
          <c:cat>
            <c:strRef>
              <c:f>[Libro1.xlsx]Hoja1!$L$36:$N$36</c:f>
              <c:strCache>
                <c:ptCount val="3"/>
                <c:pt idx="0">
                  <c:v>2009</c:v>
                </c:pt>
                <c:pt idx="1">
                  <c:v>2010</c:v>
                </c:pt>
                <c:pt idx="2">
                  <c:v>2015-2016</c:v>
                </c:pt>
              </c:strCache>
            </c:strRef>
          </c:cat>
          <c:val>
            <c:numRef>
              <c:f>[Libro1.xlsx]Hoja1!$L$62:$N$62</c:f>
              <c:numCache>
                <c:formatCode>0.00%</c:formatCode>
                <c:ptCount val="3"/>
                <c:pt idx="0">
                  <c:v>0.21740000000000001</c:v>
                </c:pt>
                <c:pt idx="1">
                  <c:v>0.21740000000000001</c:v>
                </c:pt>
                <c:pt idx="2">
                  <c:v>0.27539999999999998</c:v>
                </c:pt>
              </c:numCache>
            </c:numRef>
          </c:val>
          <c:smooth val="0"/>
          <c:extLst>
            <c:ext xmlns:c16="http://schemas.microsoft.com/office/drawing/2014/chart" uri="{C3380CC4-5D6E-409C-BE32-E72D297353CC}">
              <c16:uniqueId val="{00000002-B258-434D-8130-D219F2E8E244}"/>
            </c:ext>
          </c:extLst>
        </c:ser>
        <c:ser>
          <c:idx val="3"/>
          <c:order val="3"/>
          <c:tx>
            <c:strRef>
              <c:f>[Libro1.xlsx]Hoja1!$K$63</c:f>
              <c:strCache>
                <c:ptCount val="1"/>
                <c:pt idx="0">
                  <c:v>COMERCIAL, ALIMENTACIÓN</c:v>
                </c:pt>
              </c:strCache>
            </c:strRef>
          </c:tx>
          <c:spPr>
            <a:ln w="34925" cap="rnd">
              <a:solidFill>
                <a:schemeClr val="accent4"/>
              </a:solidFill>
              <a:round/>
            </a:ln>
            <a:effectLst>
              <a:outerShdw blurRad="40000" dist="23000" dir="5400000" rotWithShape="0">
                <a:srgbClr val="000000">
                  <a:alpha val="35000"/>
                </a:srgbClr>
              </a:outerShdw>
            </a:effectLst>
          </c:spPr>
          <c:marker>
            <c:symbol val="none"/>
          </c:marker>
          <c:cat>
            <c:strRef>
              <c:f>[Libro1.xlsx]Hoja1!$L$36:$N$36</c:f>
              <c:strCache>
                <c:ptCount val="3"/>
                <c:pt idx="0">
                  <c:v>2009</c:v>
                </c:pt>
                <c:pt idx="1">
                  <c:v>2010</c:v>
                </c:pt>
                <c:pt idx="2">
                  <c:v>2015-2016</c:v>
                </c:pt>
              </c:strCache>
            </c:strRef>
          </c:cat>
          <c:val>
            <c:numRef>
              <c:f>[Libro1.xlsx]Hoja1!$L$63:$N$63</c:f>
              <c:numCache>
                <c:formatCode>0.00%</c:formatCode>
                <c:ptCount val="3"/>
                <c:pt idx="0">
                  <c:v>0.44929999999999998</c:v>
                </c:pt>
                <c:pt idx="1">
                  <c:v>0.46379999999999999</c:v>
                </c:pt>
                <c:pt idx="2">
                  <c:v>0.39129999999999998</c:v>
                </c:pt>
              </c:numCache>
            </c:numRef>
          </c:val>
          <c:smooth val="0"/>
          <c:extLst>
            <c:ext xmlns:c16="http://schemas.microsoft.com/office/drawing/2014/chart" uri="{C3380CC4-5D6E-409C-BE32-E72D297353CC}">
              <c16:uniqueId val="{00000003-B258-434D-8130-D219F2E8E244}"/>
            </c:ext>
          </c:extLst>
        </c:ser>
        <c:ser>
          <c:idx val="4"/>
          <c:order val="4"/>
          <c:tx>
            <c:strRef>
              <c:f>[Libro1.xlsx]Hoja1!$K$64</c:f>
              <c:strCache>
                <c:ptCount val="1"/>
                <c:pt idx="0">
                  <c:v>INDUSTRIAL</c:v>
                </c:pt>
              </c:strCache>
            </c:strRef>
          </c:tx>
          <c:spPr>
            <a:ln w="34925" cap="rnd">
              <a:solidFill>
                <a:schemeClr val="accent5"/>
              </a:solidFill>
              <a:round/>
            </a:ln>
            <a:effectLst>
              <a:outerShdw blurRad="40000" dist="23000" dir="5400000" rotWithShape="0">
                <a:srgbClr val="000000">
                  <a:alpha val="35000"/>
                </a:srgbClr>
              </a:outerShdw>
            </a:effectLst>
          </c:spPr>
          <c:marker>
            <c:symbol val="none"/>
          </c:marker>
          <c:cat>
            <c:strRef>
              <c:f>[Libro1.xlsx]Hoja1!$L$36:$N$36</c:f>
              <c:strCache>
                <c:ptCount val="3"/>
                <c:pt idx="0">
                  <c:v>2009</c:v>
                </c:pt>
                <c:pt idx="1">
                  <c:v>2010</c:v>
                </c:pt>
                <c:pt idx="2">
                  <c:v>2015-2016</c:v>
                </c:pt>
              </c:strCache>
            </c:strRef>
          </c:cat>
          <c:val>
            <c:numRef>
              <c:f>[Libro1.xlsx]Hoja1!$L$64:$N$64</c:f>
              <c:numCache>
                <c:formatCode>0.00%</c:formatCode>
                <c:ptCount val="3"/>
                <c:pt idx="0">
                  <c:v>8.6999999999999994E-2</c:v>
                </c:pt>
                <c:pt idx="1">
                  <c:v>0</c:v>
                </c:pt>
                <c:pt idx="2">
                  <c:v>0</c:v>
                </c:pt>
              </c:numCache>
            </c:numRef>
          </c:val>
          <c:smooth val="0"/>
          <c:extLst>
            <c:ext xmlns:c16="http://schemas.microsoft.com/office/drawing/2014/chart" uri="{C3380CC4-5D6E-409C-BE32-E72D297353CC}">
              <c16:uniqueId val="{00000004-B258-434D-8130-D219F2E8E244}"/>
            </c:ext>
          </c:extLst>
        </c:ser>
        <c:dLbls>
          <c:showLegendKey val="0"/>
          <c:showVal val="0"/>
          <c:showCatName val="0"/>
          <c:showSerName val="0"/>
          <c:showPercent val="0"/>
          <c:showBubbleSize val="0"/>
        </c:dLbls>
        <c:smooth val="0"/>
        <c:axId val="648956936"/>
        <c:axId val="648956608"/>
      </c:lineChart>
      <c:catAx>
        <c:axId val="648956936"/>
        <c:scaling>
          <c:orientation val="minMax"/>
        </c:scaling>
        <c:delete val="0"/>
        <c:axPos val="b"/>
        <c:numFmt formatCode="General" sourceLinked="1"/>
        <c:majorTickMark val="none"/>
        <c:minorTickMark val="none"/>
        <c:tickLblPos val="nextTo"/>
        <c:spPr>
          <a:noFill/>
          <a:ln w="9525" cap="flat" cmpd="sng" algn="ctr">
            <a:solidFill>
              <a:schemeClr val="lt1">
                <a:lumMod val="95000"/>
                <a:alpha val="10000"/>
              </a:schemeClr>
            </a:solidFill>
            <a:round/>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s-ES"/>
          </a:p>
        </c:txPr>
        <c:crossAx val="648956608"/>
        <c:crosses val="autoZero"/>
        <c:auto val="1"/>
        <c:lblAlgn val="ctr"/>
        <c:lblOffset val="100"/>
        <c:noMultiLvlLbl val="0"/>
      </c:catAx>
      <c:valAx>
        <c:axId val="648956608"/>
        <c:scaling>
          <c:orientation val="minMax"/>
        </c:scaling>
        <c:delete val="0"/>
        <c:axPos val="l"/>
        <c:majorGridlines>
          <c:spPr>
            <a:ln w="9525" cap="flat" cmpd="sng" algn="ctr">
              <a:solidFill>
                <a:schemeClr val="lt1">
                  <a:lumMod val="95000"/>
                  <a:alpha val="10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lt1">
                    <a:lumMod val="85000"/>
                  </a:schemeClr>
                </a:solidFill>
                <a:latin typeface="+mn-lt"/>
                <a:ea typeface="+mn-ea"/>
                <a:cs typeface="+mn-cs"/>
              </a:defRPr>
            </a:pPr>
            <a:endParaRPr lang="es-ES"/>
          </a:p>
        </c:txPr>
        <c:crossAx val="648956936"/>
        <c:crosses val="autoZero"/>
        <c:crossBetween val="between"/>
      </c:valAx>
      <c:spPr>
        <a:noFill/>
        <a:ln>
          <a:noFill/>
        </a:ln>
        <a:effectLst/>
      </c:spPr>
    </c:plotArea>
    <c:legend>
      <c:legendPos val="b"/>
      <c:layout>
        <c:manualLayout>
          <c:xMode val="edge"/>
          <c:yMode val="edge"/>
          <c:x val="0"/>
          <c:y val="0.70095982920866495"/>
          <c:w val="1"/>
          <c:h val="0.27049410179623584"/>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lt1">
                  <a:lumMod val="85000"/>
                </a:schemeClr>
              </a:solidFill>
              <a:latin typeface="+mn-lt"/>
              <a:ea typeface="+mn-ea"/>
              <a:cs typeface="+mn-cs"/>
            </a:defRPr>
          </a:pPr>
          <a:endParaRPr lang="es-E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1197"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1197"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330" kern="1200"/>
  </cs:chartArea>
  <cs:dataLabel>
    <cs:lnRef idx="0"/>
    <cs:fillRef idx="0"/>
    <cs:effectRef idx="0"/>
    <cs:fontRef idx="minor">
      <a:schemeClr val="lt1">
        <a:lumMod val="85000"/>
      </a:schemeClr>
    </cs:fontRef>
    <cs:defRPr sz="1197" kern="1200"/>
  </cs:dataLabel>
  <cs:dataLabelCallout>
    <cs:lnRef idx="0"/>
    <cs:fillRef idx="0"/>
    <cs:effectRef idx="0"/>
    <cs:fontRef idx="minor">
      <a:schemeClr val="dk1">
        <a:lumMod val="65000"/>
        <a:lumOff val="35000"/>
      </a:schemeClr>
    </cs:fontRef>
    <cs:spPr>
      <a:solidFill>
        <a:schemeClr val="lt1"/>
      </a:solidFill>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1197"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1197"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2128"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1197"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1197"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33">
  <cs:axisTitle>
    <cs:lnRef idx="0"/>
    <cs:fillRef idx="0"/>
    <cs:effectRef idx="0"/>
    <cs:fontRef idx="minor">
      <a:schemeClr val="lt1">
        <a:lumMod val="85000"/>
      </a:schemeClr>
    </cs:fontRef>
    <cs:defRPr sz="1197" b="1" kern="1200" cap="all"/>
  </cs:axisTitle>
  <cs:categoryAxis>
    <cs:lnRef idx="0"/>
    <cs:fillRef idx="0"/>
    <cs:effectRef idx="0"/>
    <cs:fontRef idx="minor">
      <a:schemeClr val="lt1">
        <a:lumMod val="85000"/>
      </a:schemeClr>
    </cs:fontRef>
    <cs:spPr>
      <a:ln w="9525" cap="flat" cmpd="sng" algn="ctr">
        <a:solidFill>
          <a:schemeClr val="lt1">
            <a:lumMod val="95000"/>
            <a:alpha val="10000"/>
          </a:schemeClr>
        </a:solidFill>
        <a:round/>
      </a:ln>
    </cs:spPr>
    <cs:defRPr sz="1197"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330" kern="1200"/>
  </cs:chartArea>
  <cs:dataLabel>
    <cs:lnRef idx="0"/>
    <cs:fillRef idx="0"/>
    <cs:effectRef idx="0"/>
    <cs:fontRef idx="minor">
      <a:schemeClr val="lt1">
        <a:lumMod val="85000"/>
      </a:schemeClr>
    </cs:fontRef>
    <cs:defRPr sz="1197" kern="1200"/>
  </cs:dataLabel>
  <cs:dataLabelCallout>
    <cs:lnRef idx="0"/>
    <cs:fillRef idx="0"/>
    <cs:effectRef idx="0"/>
    <cs:fontRef idx="minor">
      <a:schemeClr val="dk1">
        <a:lumMod val="65000"/>
        <a:lumOff val="35000"/>
      </a:schemeClr>
    </cs:fontRef>
    <cs:spPr>
      <a:solidFill>
        <a:schemeClr val="lt1"/>
      </a:solidFill>
    </cs:spPr>
    <cs:defRPr sz="1197"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1197"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1197"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1197"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2128"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1197"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1197" kern="1200"/>
  </cs:valueAxis>
  <cs:wall>
    <cs:lnRef idx="0"/>
    <cs:fillRef idx="0"/>
    <cs:effectRef idx="0"/>
    <cs:fontRef idx="minor">
      <a:schemeClr val="tx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csi-market-2016-utilities-sector-management-effectiveness-information-and-trends-by-quarter,-roe,-return-on-assets,-return-on-investment-from-2-q-2017-to-2-q-2016---csimarket</b:Tag>
    <b:SourceType>InternetSite</b:SourceType>
    <b:Title>Utilities Sector Management Effectiveness Information and Trends by quarter, ROE, Return On Assets, Return On Investment from 2 Q 2017 to 2 Q 2016 - CSIMarket</b:Title>
    <b:Year>2016</b:Year>
    <b:Author>
      <b:Author>
        <b:NameList>
          <b:Person>
            <b:Last>CSI MARKET</b:Last>
          </b:Person>
        </b:NameList>
      </b:Author>
    </b:Author>
    <b:URL>https://csimarket.com/Industry/industry_ManagementEffectiveness.php?s=1200</b:URL>
    <b:RefOrder>1</b:RefOrder>
  </b:Source>
  <b:Source>
    <b:Tag>deloitte-2009-combinaciones-de-negocios-y-cambios-en-las-participaciones-guía-de-la-niif-3-y-la-nic-27-revisadas</b:Tag>
    <b:SourceType>JournalArticle</b:SourceType>
    <b:Title>Combinaciones de negocios y cambios en las participaciones Guía de la NIIF 3 y la NIC 27 revisadas</b:Title>
    <b:Year>2009</b:Year>
    <b:Author>
      <b:Author>
        <b:NameList>
          <b:Person>
            <b:Last>DELOITTE</b:Last>
          </b:Person>
        </b:NameList>
      </b:Author>
    </b:Author>
    <b:RefOrder>2</b:RefOrder>
  </b:Source>
  <b:Source>
    <b:Tag>forsythe-2016-the-goodwill-impairment-dilemma|-deloitte-us|-business-valuation</b:Tag>
    <b:SourceType>InternetSite</b:SourceType>
    <b:Title>The goodwill impairment dilemma| Deloitte US| Business valuation</b:Title>
    <b:Year>2016</b:Year>
    <b:Author>
      <b:Author>
        <b:NameList>
          <b:Person>
            <b:First>Greg</b:First>
            <b:Last>Forsythe</b:Last>
          </b:Person>
        </b:NameList>
      </b:Author>
    </b:Author>
    <b:URL>https://www2.deloitte.com/us/en/pages/advisory/articles/the-goodwill-impairment-dilemma.html</b:URL>
    <b:RefOrder>3</b:RefOrder>
  </b:Source>
  <b:Source>
    <b:Tag>iasb-2008-ias-27-consolidated-and-separate-financial-statements-international-accounting-standard-27-consolidated-and-separate-financial-statements</b:Tag>
    <b:SourceType>JournalArticle</b:SourceType>
    <b:Title>IAS 27 Consolidated and Separate Financial Statements International Accounting Standard 27 Consolidated and Separate Financial Statements</b:Title>
    <b:Year>2008</b:Year>
    <b:Author>
      <b:Author>
        <b:NameList>
          <b:Person>
            <b:Last>IASB</b:Last>
          </b:Person>
        </b:NameList>
      </b:Author>
    </b:Author>
    <b:RefOrder>4</b:RefOrder>
  </b:Source>
  <b:Source>
    <b:Tag>iasb-2008-ias-38-—-intangible-assets</b:Tag>
    <b:SourceType>Report</b:SourceType>
    <b:Title>IAS 38 — Intangible Assets</b:Title>
    <b:Year>2008</b:Year>
    <b:Author>
      <b:Author>
        <b:NameList>
          <b:Person>
            <b:Last>IASB</b:Last>
          </b:Person>
        </b:NameList>
      </b:Author>
    </b:Author>
    <b:RefOrder>5</b:RefOrder>
  </b:Source>
  <b:Source>
    <b:Tag>iasb-2004-norma-internacional-de-información-financiera-nº-3-(niif-3-(2004)-identificación-de-una-combinación-de-negocios</b:Tag>
    <b:SourceType>JournalArticle</b:SourceType>
    <b:Title>Norma Internacional de Información Financiera nº 3 (NIIF 3 (2004) Identificación de una combinación de negocios</b:Title>
    <b:Year>2004</b:Year>
    <b:Author>
      <b:Author>
        <b:NameList>
          <b:Person>
            <b:Last>IASB</b:Last>
          </b:Person>
        </b:NameList>
      </b:Author>
    </b:Author>
    <b:RefOrder>6</b:RefOrder>
  </b:Source>
  <b:Source>
    <b:Tag>iasb-2008-norma-internacional-de-información-financiera-nº-3-(niif-3)-identificación-de-una-combinación-de-negocios</b:Tag>
    <b:SourceType>Report</b:SourceType>
    <b:Title>Norma Internacional de Información Financiera nº 3 (NIIF 3) Identificación de una combinación de negocios</b:Title>
    <b:Year>2008</b:Year>
    <b:Author>
      <b:Author>
        <b:NameList>
          <b:Person>
            <b:Last>IASB</b:Last>
          </b:Person>
        </b:NameList>
      </b:Author>
    </b:Author>
    <b:RefOrder>7</b:RefOrder>
  </b:Source>
  <b:Source>
    <b:Tag>ruiz-lamas-2012-combinaciones-de-negocios</b:Tag>
    <b:SourceType>InternetSite</b:SourceType>
    <b:Title>COMBINACIONES DE NEGOCIOS</b:Title>
    <b:Year>2012</b:Year>
    <b:Author>
      <b:Author>
        <b:NameList>
          <b:Person>
            <b:First>Fernando</b:First>
            <b:Last>Ruiz Lamas</b:Last>
          </b:Person>
        </b:NameList>
      </b:Author>
    </b:Author>
    <b:URL>http://www.economicas.udc.es/subido/Noticias/not20090212091856/FRUIZ_PGC_CN_UDC.pdf</b:URL>
    <b:RefOrder>8</b:RefOrder>
  </b:Source>
  <b:Source>
    <b:Tag>world-cooperative-monitor-2016-exploring-the-co-operative-economy-the-2016-world-co-operative-monitor-exploring-the-co-operative-economy-strength-and-impact</b:Tag>
    <b:SourceType>JournalArticle</b:SourceType>
    <b:Title>EXPLORING THE CO-OPERATIVE ECONOMY THE 2016 WORLD CO-OPERATIVE MONITOR EXPLORING THE CO-OPERATIVE ECONOMY Strength and Impact</b:Title>
    <b:Year>2016</b:Year>
    <b:Author>
      <b:Author>
        <b:NameList>
          <b:Person>
            <b:Last>WORLD COOPERATIVE MONITOR</b:Last>
          </b:Person>
        </b:NameList>
      </b:Author>
    </b:Author>
    <b:RefOrder>9</b:RefOrder>
  </b:Source>
  <b:Source>
    <b:Tag>south-african-institute-of-chartered-accountants-ifrs-3,-business-combinations:-old-vs-new-–-gaa-accounting</b:Tag>
    <b:SourceType>Report</b:SourceType>
    <b:Title>IFRS 3, BUSINESS COMBINATIONS: OLD VS NEW – GAA Accounting</b:Title>
    <b:Author>
      <b:Author>
        <b:NameList>
          <b:Person>
            <b:Last>South African Institute of Chartered Accountants</b:Last>
          </b:Person>
        </b:NameList>
      </b:Author>
    </b:Author>
    <b:RefOrder>10</b:RefOrder>
  </b:Source>
  <b:Source>
    <b:Tag>senderovich-d.-2014-activos-intangibles:-estudio-crítico-de-la-integración-de-la-categoría-e-inviabilidad-de-la-asignación-de-vida-útil-indefinida</b:Tag>
    <b:SourceType>JournalArticle</b:SourceType>
    <b:Title>Activos Intangibles: Estudio crítico de la integración de la categoría e inviabilidad de la asignación de vida útil indefinida</b:Title>
    <b:Year>2014</b:Year>
    <b:Author>
      <b:Author>
        <b:NameList>
          <b:Person>
            <b:First>Pablo D.</b:First>
            <b:Last>Senderovich</b:Last>
          </b:Person>
          <b:Person>
            <b:First>Pablo</b:First>
            <b:Last>D.</b:Last>
          </b:Person>
        </b:NameList>
      </b:Author>
    </b:Author>
    <b:RefOrder>11</b:RefOrder>
  </b:Source>
  <b:Source>
    <b:Tag>deloitte-apb-16:-business-combinations</b:Tag>
    <b:SourceType>JournalArticle</b:SourceType>
    <b:Title>APB 16: Business Combinations</b:Title>
    <b:Author>
      <b:Author>
        <b:NameList>
          <b:Person>
            <b:Last>Deloitte</b:Last>
          </b:Person>
        </b:NameList>
      </b:Author>
    </b:Author>
    <b:RefOrder>12</b:RefOrder>
  </b:Source>
  <b:Source>
    <b:Tag>richard-d.-harroch-and-david-a.-lipkin-2014-20-key-due-diligence-activities-in-a-merger-and-acquisition-transaction</b:Tag>
    <b:SourceType>JournalArticle</b:SourceType>
    <b:Title>20 Key Due Diligence Activities In A Merger And Acquisition Transaction</b:Title>
    <b:Year>2014</b:Year>
    <b:Author>
      <b:Author>
        <b:NameList>
          <b:Person>
            <b:Last>Richard D. Harroch and David A. Lipkin</b:Last>
          </b:Person>
        </b:NameList>
      </b:Author>
    </b:Author>
    <b:RefOrder>13</b:RefOrder>
  </b:Source>
  <b:Source>
    <b:Tag>international-accounting-standards-board®-2004-ifrs-3-business-combinations</b:Tag>
    <b:SourceType>Report</b:SourceType>
    <b:Title>IFRS 3 Business Combinations</b:Title>
    <b:Year>2004</b:Year>
    <b:Author>
      <b:Author>
        <b:NameList>
          <b:Person>
            <b:Last>International Accounting Standards Board®</b:Last>
          </b:Person>
        </b:NameList>
      </b:Author>
    </b:Author>
    <b:Pages>71</b:Pages>
    <b:RefOrder>14</b:RefOrder>
  </b:Source>
  <b:Source>
    <b:Tag>financial-account-standards-board-fasb-141-(revised-2007)-(as-issued)</b:Tag>
    <b:SourceType>InternetSite</b:SourceType>
    <b:Title>FASB 141 (Revised 2007) (as issued)</b:Title>
    <b:Author>
      <b:Author>
        <b:NameList>
          <b:Person>
            <b:Last>FINANCIAL ACCOUNT STANDARDS BOARD</b:Last>
          </b:Person>
        </b:NameList>
      </b:Author>
    </b:Author>
    <b:InternetSiteTitle>2007</b:InternetSiteTitle>
    <b:URL>http://www.fasb.org/pdf/fas141r.pdf</b:URL>
    <b:RefOrder>15</b:RefOrder>
  </b:Source>
</b:Sources>
</file>

<file path=customXml/itemProps1.xml><?xml version="1.0" encoding="utf-8"?>
<ds:datastoreItem xmlns:ds="http://schemas.openxmlformats.org/officeDocument/2006/customXml" ds:itemID="{18210F2B-5AF0-40C4-B4F2-B49D71EB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4602</Words>
  <Characters>25313</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Canales</dc:creator>
  <cp:keywords/>
  <dc:description/>
  <cp:lastModifiedBy>PAULA ANDREA GALLO RESTREPO</cp:lastModifiedBy>
  <cp:revision>2</cp:revision>
  <dcterms:created xsi:type="dcterms:W3CDTF">2018-01-25T09:18:00Z</dcterms:created>
  <dcterms:modified xsi:type="dcterms:W3CDTF">2018-01-25T09:18:00Z</dcterms:modified>
</cp:coreProperties>
</file>