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9E532" w14:textId="77777777" w:rsidR="006D38D1" w:rsidRDefault="00C851F0" w:rsidP="00F94B11">
      <w:pPr>
        <w:pStyle w:val="Ttulo1"/>
        <w:rPr>
          <w:rFonts w:ascii="Arial" w:hAnsi="Arial"/>
        </w:rPr>
      </w:pPr>
      <w:r>
        <w:rPr>
          <w:rFonts w:ascii="Arial" w:hAnsi="Arial"/>
        </w:rPr>
        <w:t xml:space="preserve">FACTORES EXPLICATIVOS DEL COMPROMISO </w:t>
      </w:r>
      <w:r w:rsidR="00A53BDF">
        <w:rPr>
          <w:rFonts w:ascii="Arial" w:hAnsi="Arial"/>
        </w:rPr>
        <w:t>DE LOS</w:t>
      </w:r>
      <w:bookmarkStart w:id="0" w:name="_GoBack"/>
      <w:bookmarkEnd w:id="0"/>
      <w:r w:rsidR="00A53BDF">
        <w:rPr>
          <w:rFonts w:ascii="Arial" w:hAnsi="Arial"/>
        </w:rPr>
        <w:t xml:space="preserve"> SOCIOS CON SUS COOPERAT</w:t>
      </w:r>
      <w:r w:rsidR="00626D17">
        <w:rPr>
          <w:rFonts w:ascii="Arial" w:hAnsi="Arial"/>
        </w:rPr>
        <w:t>IVAS</w:t>
      </w:r>
      <w:r w:rsidR="00A53BDF">
        <w:rPr>
          <w:rFonts w:ascii="Arial" w:hAnsi="Arial"/>
        </w:rPr>
        <w:t xml:space="preserve"> AGROALIMENTARIAS</w:t>
      </w:r>
      <w:r w:rsidR="00932112" w:rsidRPr="00665C91">
        <w:rPr>
          <w:rStyle w:val="Refdenotaalpie"/>
          <w:rFonts w:ascii="Arial" w:hAnsi="Arial"/>
        </w:rPr>
        <w:footnoteReference w:id="1"/>
      </w:r>
    </w:p>
    <w:p w14:paraId="5B8A7C1D" w14:textId="77777777" w:rsidR="006E69BE" w:rsidRPr="006E69BE" w:rsidRDefault="006E69BE" w:rsidP="006E69BE"/>
    <w:p w14:paraId="6AC85347" w14:textId="77777777" w:rsidR="006D38D1" w:rsidRPr="00665C91" w:rsidRDefault="006E69BE" w:rsidP="00B259A2">
      <w:pPr>
        <w:spacing w:after="120"/>
        <w:jc w:val="right"/>
        <w:rPr>
          <w:b/>
        </w:rPr>
      </w:pPr>
      <w:r w:rsidRPr="00665C91">
        <w:rPr>
          <w:b/>
        </w:rPr>
        <w:t xml:space="preserve">Gustavo Marcos </w:t>
      </w:r>
      <w:proofErr w:type="spellStart"/>
      <w:r w:rsidRPr="00665C91">
        <w:rPr>
          <w:b/>
        </w:rPr>
        <w:t>Matás</w:t>
      </w:r>
      <w:proofErr w:type="spellEnd"/>
      <w:r w:rsidRPr="00665C91">
        <w:rPr>
          <w:b/>
        </w:rPr>
        <w:t>*</w:t>
      </w:r>
      <w:r>
        <w:rPr>
          <w:b/>
        </w:rPr>
        <w:t xml:space="preserve">, </w:t>
      </w:r>
      <w:r w:rsidRPr="00665C91">
        <w:rPr>
          <w:b/>
        </w:rPr>
        <w:t xml:space="preserve">Miguel Hernández </w:t>
      </w:r>
      <w:proofErr w:type="spellStart"/>
      <w:r w:rsidRPr="00665C91">
        <w:rPr>
          <w:b/>
        </w:rPr>
        <w:t>Espallardo</w:t>
      </w:r>
      <w:proofErr w:type="spellEnd"/>
      <w:r w:rsidRPr="00665C91">
        <w:rPr>
          <w:b/>
        </w:rPr>
        <w:t>**</w:t>
      </w:r>
      <w:r>
        <w:rPr>
          <w:b/>
        </w:rPr>
        <w:t>,</w:t>
      </w:r>
      <w:r w:rsidR="00626D17" w:rsidRPr="00665C91" w:rsidDel="00626D17">
        <w:rPr>
          <w:b/>
        </w:rPr>
        <w:t xml:space="preserve"> </w:t>
      </w:r>
      <w:r w:rsidRPr="00665C91">
        <w:rPr>
          <w:b/>
        </w:rPr>
        <w:t xml:space="preserve">Narciso Arcas </w:t>
      </w:r>
      <w:proofErr w:type="spellStart"/>
      <w:r w:rsidRPr="00665C91">
        <w:rPr>
          <w:b/>
        </w:rPr>
        <w:t>Lario</w:t>
      </w:r>
      <w:proofErr w:type="spellEnd"/>
      <w:r w:rsidR="006D38D1" w:rsidRPr="00665C91">
        <w:rPr>
          <w:b/>
        </w:rPr>
        <w:t>*</w:t>
      </w:r>
    </w:p>
    <w:p w14:paraId="222FB678" w14:textId="77777777" w:rsidR="006D38D1" w:rsidRPr="00665C91" w:rsidRDefault="006E69BE" w:rsidP="00B259A2">
      <w:pPr>
        <w:spacing w:after="120"/>
        <w:jc w:val="right"/>
        <w:rPr>
          <w:b/>
        </w:rPr>
      </w:pPr>
      <w:r>
        <w:rPr>
          <w:b/>
        </w:rPr>
        <w:t>(</w:t>
      </w:r>
      <w:r w:rsidR="006D38D1" w:rsidRPr="00665C91">
        <w:rPr>
          <w:b/>
        </w:rPr>
        <w:t>gustavo.marcos@um.es, migher@um.es, arcas.lario@upct.es</w:t>
      </w:r>
      <w:r>
        <w:rPr>
          <w:b/>
        </w:rPr>
        <w:t>)</w:t>
      </w:r>
    </w:p>
    <w:p w14:paraId="1B77CDD2" w14:textId="77777777" w:rsidR="006D38D1" w:rsidRPr="00665C91" w:rsidRDefault="006D38D1" w:rsidP="00B259A2">
      <w:pPr>
        <w:spacing w:after="120"/>
        <w:jc w:val="right"/>
        <w:rPr>
          <w:b/>
        </w:rPr>
      </w:pPr>
      <w:r w:rsidRPr="00665C91">
        <w:rPr>
          <w:b/>
        </w:rPr>
        <w:t>*Universidad Politécnica de Cartagena, **Universidad de Murcia</w:t>
      </w:r>
    </w:p>
    <w:p w14:paraId="5E1FBBEB" w14:textId="77777777" w:rsidR="006D38D1" w:rsidRPr="00665C91" w:rsidRDefault="006D38D1" w:rsidP="00F94B11">
      <w:pPr>
        <w:jc w:val="center"/>
        <w:rPr>
          <w:i/>
        </w:rPr>
      </w:pPr>
      <w:r w:rsidRPr="00665C91">
        <w:rPr>
          <w:i/>
        </w:rPr>
        <w:t>Cátedra Cajamar de Cooperativismo Agroalimentario</w:t>
      </w:r>
      <w:r w:rsidR="000B2580" w:rsidRPr="00665C91">
        <w:rPr>
          <w:i/>
        </w:rPr>
        <w:t>.</w:t>
      </w:r>
      <w:r w:rsidRPr="00665C91">
        <w:rPr>
          <w:i/>
        </w:rPr>
        <w:t xml:space="preserve"> Universidad Politécnica de Cartagena</w:t>
      </w:r>
    </w:p>
    <w:p w14:paraId="0278FCEB" w14:textId="77777777" w:rsidR="006D38D1" w:rsidRPr="00665C91" w:rsidRDefault="006D38D1" w:rsidP="00155E4C">
      <w:pPr>
        <w:pStyle w:val="Ttulo2"/>
        <w:spacing w:after="120"/>
      </w:pPr>
      <w:r w:rsidRPr="00665C91">
        <w:t>RESUMEN</w:t>
      </w:r>
    </w:p>
    <w:p w14:paraId="768B6EFA" w14:textId="77777777" w:rsidR="006D38D1" w:rsidRPr="00665C91" w:rsidRDefault="006D38D1" w:rsidP="00155E4C">
      <w:pPr>
        <w:spacing w:after="120"/>
      </w:pPr>
      <w:r w:rsidRPr="00665C91">
        <w:t>Las cooperativas agr</w:t>
      </w:r>
      <w:r w:rsidR="00A53BDF">
        <w:t xml:space="preserve">oalimentarias </w:t>
      </w:r>
      <w:r w:rsidRPr="00665C91">
        <w:t xml:space="preserve">tienen que competir contra otras alternativas de comercialización que también </w:t>
      </w:r>
      <w:r w:rsidR="00A53BDF">
        <w:t xml:space="preserve">operan </w:t>
      </w:r>
      <w:r w:rsidRPr="00665C91">
        <w:t xml:space="preserve">en origen, en mercados caracterizados por una gran presión de la demanda debido al </w:t>
      </w:r>
      <w:r w:rsidR="00A53BDF">
        <w:t xml:space="preserve">elevado </w:t>
      </w:r>
      <w:r w:rsidRPr="00665C91">
        <w:t xml:space="preserve">poder de negociación de la distribución, y al creciente número de comercializadores fruto de la globalización y </w:t>
      </w:r>
      <w:r w:rsidR="00275EEA">
        <w:t xml:space="preserve">la </w:t>
      </w:r>
      <w:r w:rsidRPr="00665C91">
        <w:t xml:space="preserve">desregularización de </w:t>
      </w:r>
      <w:r w:rsidR="0078129B">
        <w:t>los mercados. En este escenario</w:t>
      </w:r>
      <w:r w:rsidRPr="00665C91">
        <w:t xml:space="preserve"> establecemos un marco teórico pa</w:t>
      </w:r>
      <w:r w:rsidR="00932112" w:rsidRPr="00665C91">
        <w:t xml:space="preserve">ra explicar </w:t>
      </w:r>
      <w:r w:rsidR="00A5620A" w:rsidRPr="00665C91">
        <w:t xml:space="preserve">el compromiso de los socios </w:t>
      </w:r>
      <w:r w:rsidR="00275EEA">
        <w:t xml:space="preserve">con </w:t>
      </w:r>
      <w:r w:rsidRPr="00665C91">
        <w:t>la cooperativa a partir de</w:t>
      </w:r>
      <w:r w:rsidR="00A5620A" w:rsidRPr="00665C91">
        <w:t xml:space="preserve"> </w:t>
      </w:r>
      <w:r w:rsidR="00275EEA">
        <w:t xml:space="preserve">su </w:t>
      </w:r>
      <w:r w:rsidR="00A5620A" w:rsidRPr="00665C91">
        <w:t>heterogeneidad</w:t>
      </w:r>
      <w:r w:rsidR="007D2E72">
        <w:t xml:space="preserve"> y oportunismo</w:t>
      </w:r>
      <w:r w:rsidR="00275EEA">
        <w:t>, así como</w:t>
      </w:r>
      <w:r w:rsidR="009D6BC4">
        <w:t xml:space="preserve"> </w:t>
      </w:r>
      <w:r w:rsidRPr="00665C91">
        <w:t xml:space="preserve">los mecanismos que gobiernan </w:t>
      </w:r>
      <w:r w:rsidR="00275EEA">
        <w:t>esta relación</w:t>
      </w:r>
      <w:r w:rsidRPr="00665C91">
        <w:t xml:space="preserve">. </w:t>
      </w:r>
      <w:r w:rsidR="00A5620A" w:rsidRPr="00665C91">
        <w:t xml:space="preserve">Los resultados permitirán </w:t>
      </w:r>
      <w:r w:rsidRPr="00665C91">
        <w:t>comprobar</w:t>
      </w:r>
      <w:r w:rsidR="00A5620A" w:rsidRPr="00665C91">
        <w:t xml:space="preserve"> los efectos de la heterogeneidad y </w:t>
      </w:r>
      <w:r w:rsidR="00275EEA">
        <w:t xml:space="preserve">el </w:t>
      </w:r>
      <w:r w:rsidR="00A5620A" w:rsidRPr="00665C91">
        <w:t xml:space="preserve">oportunismo </w:t>
      </w:r>
      <w:r w:rsidR="00275EEA">
        <w:t xml:space="preserve">sobre </w:t>
      </w:r>
      <w:r w:rsidR="00A5620A" w:rsidRPr="00665C91">
        <w:t>el compromiso de l</w:t>
      </w:r>
      <w:r w:rsidR="00275EEA">
        <w:t xml:space="preserve">os socios y </w:t>
      </w:r>
      <w:r w:rsidRPr="00665C91">
        <w:t xml:space="preserve">la bondad de </w:t>
      </w:r>
      <w:r w:rsidR="00275EEA">
        <w:t xml:space="preserve">diferentes </w:t>
      </w:r>
      <w:r w:rsidRPr="00665C91">
        <w:t xml:space="preserve">mecanismos </w:t>
      </w:r>
      <w:r w:rsidR="00A5620A" w:rsidRPr="00665C91">
        <w:t xml:space="preserve">de gobierno </w:t>
      </w:r>
      <w:r w:rsidRPr="00665C91">
        <w:t xml:space="preserve">para controlar </w:t>
      </w:r>
      <w:r w:rsidR="00A5620A" w:rsidRPr="00665C91">
        <w:t>estos efectos.</w:t>
      </w:r>
    </w:p>
    <w:p w14:paraId="5E2D6215" w14:textId="77777777" w:rsidR="006D38D1" w:rsidRPr="00665C91" w:rsidRDefault="006D38D1" w:rsidP="00155E4C">
      <w:pPr>
        <w:pStyle w:val="Ttulo2"/>
        <w:spacing w:after="120"/>
      </w:pPr>
      <w:r w:rsidRPr="00665C91">
        <w:t>Palabras clave:</w:t>
      </w:r>
    </w:p>
    <w:p w14:paraId="0E18BABD" w14:textId="77777777" w:rsidR="006D38D1" w:rsidRPr="00665C91" w:rsidRDefault="0078129B" w:rsidP="00155E4C">
      <w:pPr>
        <w:spacing w:after="120"/>
      </w:pPr>
      <w:r w:rsidRPr="00665C91">
        <w:t>Cooperativas</w:t>
      </w:r>
      <w:r w:rsidR="00932112" w:rsidRPr="00665C91">
        <w:t xml:space="preserve"> </w:t>
      </w:r>
      <w:r w:rsidR="00275EEA">
        <w:t>agroalimentarias</w:t>
      </w:r>
      <w:r w:rsidR="00932112" w:rsidRPr="00665C91">
        <w:t xml:space="preserve">, </w:t>
      </w:r>
      <w:r w:rsidR="00350D58" w:rsidRPr="00665C91">
        <w:t>compromiso</w:t>
      </w:r>
      <w:r w:rsidR="006D38D1" w:rsidRPr="00665C91">
        <w:t>,</w:t>
      </w:r>
      <w:r w:rsidR="00932112" w:rsidRPr="00665C91">
        <w:t xml:space="preserve"> heterogeneidad, </w:t>
      </w:r>
      <w:r w:rsidR="006D38D1" w:rsidRPr="00665C91">
        <w:t>oport</w:t>
      </w:r>
      <w:r>
        <w:t>unismo, mecanismos de gobierno.</w:t>
      </w:r>
    </w:p>
    <w:p w14:paraId="65C0A8D8" w14:textId="77777777" w:rsidR="006D38D1" w:rsidRPr="00665C91" w:rsidRDefault="00932112" w:rsidP="006D38D1">
      <w:r w:rsidRPr="00665C91">
        <w:rPr>
          <w:rStyle w:val="Ttulo2Car"/>
        </w:rPr>
        <w:t xml:space="preserve">1. </w:t>
      </w:r>
      <w:r w:rsidR="006D38D1" w:rsidRPr="00665C91">
        <w:rPr>
          <w:rStyle w:val="Ttulo2Car"/>
        </w:rPr>
        <w:t>Introducción</w:t>
      </w:r>
    </w:p>
    <w:p w14:paraId="2B1A4B8C" w14:textId="77777777" w:rsidR="00932112" w:rsidRPr="00665C91" w:rsidRDefault="00932112" w:rsidP="00932112">
      <w:r w:rsidRPr="00665C91">
        <w:t>La cooperativa agr</w:t>
      </w:r>
      <w:r w:rsidR="00275EEA">
        <w:t xml:space="preserve">oalimentaria </w:t>
      </w:r>
      <w:r w:rsidRPr="00665C91">
        <w:t>se presenta como una de las alternativas organizativas a disposición de los agricultores para operar en los mercados agrarios. Se trata de una organización particular, con un grado de integración intermedio entre la empresa productora-comercializadora (mayor grado de integración) y la venta directa en el mercado a través, por ejemplo, de alhóndigas (ningún tipo de integración). En esta fórmula, los socios son propietarios y controlan, una característica de la jerarquía, pero también son proveedores de producto, lo que otorga a la relación una característica de mercado (</w:t>
      </w:r>
      <w:proofErr w:type="spellStart"/>
      <w:r w:rsidRPr="00665C91">
        <w:t>Bijman</w:t>
      </w:r>
      <w:proofErr w:type="spellEnd"/>
      <w:r w:rsidRPr="00665C91">
        <w:t xml:space="preserve"> y </w:t>
      </w:r>
      <w:proofErr w:type="spellStart"/>
      <w:r w:rsidRPr="00665C91">
        <w:t>Hendrikse</w:t>
      </w:r>
      <w:proofErr w:type="spellEnd"/>
      <w:r w:rsidRPr="00665C91">
        <w:t xml:space="preserve">, 2003). Así, la cooperativa agraria se aprovisiona casi en su totalidad de las producciones de sus socios, los cuales además son sus propietarios, usuarios de sus servicios y supervisores de una organización que distribuye </w:t>
      </w:r>
      <w:r w:rsidR="00275EEA">
        <w:t>e</w:t>
      </w:r>
      <w:r w:rsidRPr="00665C91">
        <w:t>l beneficio de forma igualitaria sobre la base del uso o volumen comercializado por el socio (</w:t>
      </w:r>
      <w:proofErr w:type="spellStart"/>
      <w:r w:rsidRPr="00665C91">
        <w:t>Barton</w:t>
      </w:r>
      <w:proofErr w:type="spellEnd"/>
      <w:r w:rsidRPr="00665C91">
        <w:t xml:space="preserve">, 1989). Estas características confieren al análisis de la relación </w:t>
      </w:r>
      <w:r w:rsidR="00275EEA">
        <w:t>socio-</w:t>
      </w:r>
      <w:r w:rsidRPr="00665C91">
        <w:t>cooperativa un papel muy relevante en el estudio de las cooperativas (</w:t>
      </w:r>
      <w:proofErr w:type="spellStart"/>
      <w:r w:rsidRPr="00665C91">
        <w:t>Nilsson</w:t>
      </w:r>
      <w:proofErr w:type="spellEnd"/>
      <w:r w:rsidRPr="00665C91">
        <w:t>, 2001).</w:t>
      </w:r>
    </w:p>
    <w:p w14:paraId="2AD114F9" w14:textId="77777777" w:rsidR="00BA13C4" w:rsidRPr="00665C91" w:rsidRDefault="00932112" w:rsidP="00932112">
      <w:r w:rsidRPr="00665C91">
        <w:t xml:space="preserve">Las cooperativas agrarias tienen que competir con otras formas de organización en unos mercados cada vez más competitivos, globales y desregulados, con frecuentes cambios legislativos, avances tecnológicos, y una demanda muy concentrada y con un gran poder de negociación (Arcas y Hernández, 2008; Baamonde, 2009). A esto se le unen los cambios en la demandas de los consumidores, con mayores exigencias en </w:t>
      </w:r>
      <w:r w:rsidRPr="00665C91">
        <w:lastRenderedPageBreak/>
        <w:t>cuanto a calidad, seguridad, variedad y conveniencia (</w:t>
      </w:r>
      <w:proofErr w:type="spellStart"/>
      <w:r w:rsidRPr="00665C91">
        <w:t>Bijman</w:t>
      </w:r>
      <w:proofErr w:type="spellEnd"/>
      <w:r w:rsidRPr="00665C91">
        <w:t xml:space="preserve"> y </w:t>
      </w:r>
      <w:proofErr w:type="spellStart"/>
      <w:r w:rsidRPr="00665C91">
        <w:t>Hendrikse</w:t>
      </w:r>
      <w:proofErr w:type="spellEnd"/>
      <w:r w:rsidRPr="00665C91">
        <w:t>, 2003). En este entorno, la capacidad para adaptarse a los nuevos cambios se presenta como un elemento capital para la supervivencia de cualquier operador, también los que se sitúan en el origen de la cadena, como es el caso de las cooperativas agrarias.</w:t>
      </w:r>
    </w:p>
    <w:p w14:paraId="321E6980" w14:textId="77777777" w:rsidR="009757CD" w:rsidRPr="00665C91" w:rsidRDefault="000B2580" w:rsidP="009757CD">
      <w:r w:rsidRPr="00665C91">
        <w:t>E</w:t>
      </w:r>
      <w:r w:rsidR="009757CD" w:rsidRPr="00665C91">
        <w:t xml:space="preserve">n ocasiones se señala que esta forma de gobierno presenta mayores dificultades a la hora de afrontar estrategias de cambio y adaptación para competir en el mercado. </w:t>
      </w:r>
      <w:r w:rsidR="00D60990" w:rsidRPr="00665C91">
        <w:t>Se argumenta</w:t>
      </w:r>
      <w:r w:rsidR="009757CD" w:rsidRPr="00665C91">
        <w:t xml:space="preserve"> que las cooperativas son ineficientes dado que los propietarios (los socios) tienen sus derechos sobre la propiedad vagamente definidos </w:t>
      </w:r>
      <w:r w:rsidR="006E69BE">
        <w:t xml:space="preserve">lo que genera un desincentivo a invertir y </w:t>
      </w:r>
      <w:r w:rsidR="00275EEA">
        <w:t xml:space="preserve">a </w:t>
      </w:r>
      <w:r w:rsidR="006E69BE">
        <w:t xml:space="preserve">comprometerse con la cooperativa </w:t>
      </w:r>
      <w:r w:rsidR="009757CD" w:rsidRPr="00665C91">
        <w:t>(</w:t>
      </w:r>
      <w:proofErr w:type="spellStart"/>
      <w:r w:rsidR="009757CD" w:rsidRPr="00665C91">
        <w:t>Nilsson</w:t>
      </w:r>
      <w:proofErr w:type="spellEnd"/>
      <w:r w:rsidR="009757CD" w:rsidRPr="00665C91">
        <w:t>, 2001).</w:t>
      </w:r>
      <w:r w:rsidR="00626D17">
        <w:t xml:space="preserve"> Además, en la medida</w:t>
      </w:r>
      <w:r w:rsidR="00626D17" w:rsidRPr="00665C91">
        <w:t xml:space="preserve"> que las cooperativas se orientan más hacia los consumidores, pasando de ser productores independientes de </w:t>
      </w:r>
      <w:proofErr w:type="spellStart"/>
      <w:r w:rsidR="00626D17" w:rsidRPr="00665C91">
        <w:rPr>
          <w:i/>
        </w:rPr>
        <w:t>commodities</w:t>
      </w:r>
      <w:proofErr w:type="spellEnd"/>
      <w:r w:rsidR="00626D17" w:rsidRPr="00665C91">
        <w:t xml:space="preserve"> hacia productores de productos específicos, necesitan de importantes inversiones, las cuales no favorecen por igual a todos sus miembros.</w:t>
      </w:r>
    </w:p>
    <w:p w14:paraId="53C2338F" w14:textId="77777777" w:rsidR="009757CD" w:rsidRPr="00665C91" w:rsidRDefault="00626D17" w:rsidP="009757CD">
      <w:r>
        <w:t xml:space="preserve">Por otra parte, </w:t>
      </w:r>
      <w:r w:rsidR="005F4B01" w:rsidRPr="00665C91">
        <w:t>el crecimiento y diversificación de muchas cooperativas ha propiciado que los socios sean cada vez más heterogéneos y menos comprometidos (</w:t>
      </w:r>
      <w:proofErr w:type="spellStart"/>
      <w:r w:rsidR="005F4B01" w:rsidRPr="00665C91">
        <w:t>Nilsson</w:t>
      </w:r>
      <w:proofErr w:type="spellEnd"/>
      <w:r w:rsidR="005F4B01" w:rsidRPr="00665C91">
        <w:t>, 2010).</w:t>
      </w:r>
      <w:r w:rsidR="00F809B5" w:rsidRPr="00665C91">
        <w:t xml:space="preserve"> </w:t>
      </w:r>
      <w:r w:rsidR="00124083">
        <w:t xml:space="preserve">En particular, en España el sector cooperativo ha experimentado </w:t>
      </w:r>
      <w:r w:rsidR="00124083" w:rsidRPr="00665C91">
        <w:t>un proceso de concentración empresarial a través de fusiones, adquisiciones, formación de grupos o integración en cooperativas de segundo grado, lo que ha tenido como resultado la existencia de un menor número de cooperativas, pero de mayor dimensión (</w:t>
      </w:r>
      <w:proofErr w:type="spellStart"/>
      <w:r w:rsidR="00124083" w:rsidRPr="00665C91">
        <w:t>Planells</w:t>
      </w:r>
      <w:proofErr w:type="spellEnd"/>
      <w:r w:rsidR="00124083" w:rsidRPr="00665C91">
        <w:t xml:space="preserve"> y Mir, 2002; Meliá y Martínez, 2011)</w:t>
      </w:r>
      <w:r w:rsidR="00124083">
        <w:t xml:space="preserve">. </w:t>
      </w:r>
      <w:r w:rsidR="00CC713E">
        <w:t>En general, l</w:t>
      </w:r>
      <w:r w:rsidR="009757CD" w:rsidRPr="00665C91">
        <w:t>a heterogeneidad de los intereses de los socios parece haber aumentado (</w:t>
      </w:r>
      <w:proofErr w:type="spellStart"/>
      <w:r w:rsidR="009757CD" w:rsidRPr="00665C91">
        <w:t>Fulton</w:t>
      </w:r>
      <w:proofErr w:type="spellEnd"/>
      <w:r w:rsidR="009757CD" w:rsidRPr="00665C91">
        <w:t>, 1999), lo que supone un hándicap para las cooperativas a la hora de afrontar estos retos del mercado. La heterogeneidad de objetivos puede llevar a conflictos en los procesos de decisión, mermar la capacidad de coordinación y reducir el compromiso de los miembros (</w:t>
      </w:r>
      <w:proofErr w:type="spellStart"/>
      <w:r w:rsidR="009757CD" w:rsidRPr="00665C91">
        <w:t>Bijman</w:t>
      </w:r>
      <w:proofErr w:type="spellEnd"/>
      <w:r w:rsidR="009757CD" w:rsidRPr="00665C91">
        <w:t xml:space="preserve"> y </w:t>
      </w:r>
      <w:proofErr w:type="spellStart"/>
      <w:r w:rsidR="009757CD" w:rsidRPr="00665C91">
        <w:t>Hendrikse</w:t>
      </w:r>
      <w:proofErr w:type="spellEnd"/>
      <w:r w:rsidR="009757CD" w:rsidRPr="00665C91">
        <w:t>, 2002).</w:t>
      </w:r>
    </w:p>
    <w:p w14:paraId="5C40C98B" w14:textId="77777777" w:rsidR="005B0176" w:rsidRPr="00665C91" w:rsidRDefault="005B0176" w:rsidP="005B0176">
      <w:r w:rsidRPr="00665C91">
        <w:t xml:space="preserve">Sin embargo, </w:t>
      </w:r>
      <w:r w:rsidR="008E3043">
        <w:t xml:space="preserve">a pesar de estos problemas, </w:t>
      </w:r>
      <w:r w:rsidRPr="00665C91">
        <w:t xml:space="preserve">las cooperativas siguen existiendo y teniendo un desempeño alto (Feng y </w:t>
      </w:r>
      <w:proofErr w:type="spellStart"/>
      <w:r w:rsidRPr="00665C91">
        <w:t>Hendrikse</w:t>
      </w:r>
      <w:proofErr w:type="spellEnd"/>
      <w:r w:rsidRPr="00665C91">
        <w:t xml:space="preserve">, 2012). </w:t>
      </w:r>
      <w:r w:rsidR="008E3043">
        <w:t xml:space="preserve">Para </w:t>
      </w:r>
      <w:proofErr w:type="spellStart"/>
      <w:r w:rsidRPr="00665C91">
        <w:t>Fulton</w:t>
      </w:r>
      <w:proofErr w:type="spellEnd"/>
      <w:r w:rsidRPr="00665C91">
        <w:t xml:space="preserve"> (1999) existe un factor que está aminorando estos problemas de acción conjunta y que tradicionalmente no es considerado de forma explícita en los modelos explicativos del fenómeno cooperativista</w:t>
      </w:r>
      <w:r w:rsidR="008E3043">
        <w:t>. Se trata d</w:t>
      </w:r>
      <w:r w:rsidRPr="00665C91">
        <w:t xml:space="preserve">el compromiso mostrado por los socios, entendido como una disposición </w:t>
      </w:r>
      <w:r w:rsidR="008E3043">
        <w:t>a</w:t>
      </w:r>
      <w:r w:rsidR="009D6BC4">
        <w:t xml:space="preserve"> </w:t>
      </w:r>
      <w:r w:rsidRPr="00665C91">
        <w:t xml:space="preserve">continuar e implicarse en la cooperativa en </w:t>
      </w:r>
      <w:r w:rsidR="008E3043">
        <w:t xml:space="preserve">el </w:t>
      </w:r>
      <w:r w:rsidRPr="00665C91">
        <w:t>largo plazo</w:t>
      </w:r>
      <w:r w:rsidR="008E3043">
        <w:t>,</w:t>
      </w:r>
      <w:r w:rsidRPr="00665C91">
        <w:t xml:space="preserve"> incluso en circunstancias coyunturales en las que otras alternativas pueden mostrarse más atractivas para el socio a corto plazo.</w:t>
      </w:r>
    </w:p>
    <w:p w14:paraId="3C80B61C" w14:textId="77777777" w:rsidR="000B2580" w:rsidRPr="00665C91" w:rsidRDefault="000B2580" w:rsidP="000B2580">
      <w:r w:rsidRPr="00665C91">
        <w:t xml:space="preserve">Sin el compromiso de los miembros, las cooperativas tendrían dificultades para operar </w:t>
      </w:r>
      <w:r w:rsidR="008E3043">
        <w:t>e</w:t>
      </w:r>
      <w:r w:rsidRPr="00665C91">
        <w:t xml:space="preserve"> incluso</w:t>
      </w:r>
      <w:r w:rsidR="008E3043">
        <w:t>,</w:t>
      </w:r>
      <w:r w:rsidRPr="00665C91">
        <w:t xml:space="preserve"> en primer lugar</w:t>
      </w:r>
      <w:r w:rsidR="008E3043">
        <w:t>,</w:t>
      </w:r>
      <w:r w:rsidRPr="00665C91">
        <w:t xml:space="preserve"> para su formación (</w:t>
      </w:r>
      <w:proofErr w:type="spellStart"/>
      <w:r w:rsidRPr="00665C91">
        <w:t>Fulton</w:t>
      </w:r>
      <w:proofErr w:type="spellEnd"/>
      <w:r w:rsidRPr="00665C91">
        <w:t xml:space="preserve">, 1999). Por el contrario, un mayor compromiso de los socios </w:t>
      </w:r>
      <w:r w:rsidR="008E3043">
        <w:t xml:space="preserve">con </w:t>
      </w:r>
      <w:r w:rsidRPr="00665C91">
        <w:t>la cooperativa llevará a unas menores dificultades en la toma de decisiones, meno</w:t>
      </w:r>
      <w:r w:rsidR="008E3043">
        <w:t>res</w:t>
      </w:r>
      <w:r w:rsidRPr="00665C91">
        <w:t xml:space="preserve"> costes de agencia</w:t>
      </w:r>
      <w:r w:rsidR="008E3043">
        <w:t xml:space="preserve"> y</w:t>
      </w:r>
      <w:r w:rsidR="00CC713E">
        <w:t xml:space="preserve"> </w:t>
      </w:r>
      <w:r w:rsidRPr="00665C91">
        <w:t xml:space="preserve">de coordinación, </w:t>
      </w:r>
      <w:r w:rsidR="008E3043">
        <w:t xml:space="preserve">y </w:t>
      </w:r>
      <w:r w:rsidRPr="00665C91">
        <w:t xml:space="preserve">mayores incentivos para </w:t>
      </w:r>
      <w:r w:rsidR="008E3043">
        <w:t>que los mismos realicen inversiones</w:t>
      </w:r>
      <w:r w:rsidRPr="00665C91">
        <w:t xml:space="preserve">. </w:t>
      </w:r>
      <w:r w:rsidR="008265B4">
        <w:t xml:space="preserve">Además, </w:t>
      </w:r>
      <w:r w:rsidRPr="00665C91">
        <w:t xml:space="preserve">se pueden encontrar trabajos </w:t>
      </w:r>
      <w:r w:rsidR="008265B4">
        <w:t>que sostienen</w:t>
      </w:r>
      <w:r w:rsidRPr="00665C91">
        <w:t xml:space="preserve"> que las cooperativas con un alto compromiso de sus socios tienen capacidad de desarrollar productos diferenciados (</w:t>
      </w:r>
      <w:proofErr w:type="spellStart"/>
      <w:r w:rsidRPr="00665C91">
        <w:t>Fulton</w:t>
      </w:r>
      <w:proofErr w:type="spellEnd"/>
      <w:r w:rsidRPr="00665C91">
        <w:t>, 1999).</w:t>
      </w:r>
      <w:r w:rsidR="008265B4">
        <w:t xml:space="preserve"> </w:t>
      </w:r>
      <w:r w:rsidR="008265B4" w:rsidRPr="00665C91">
        <w:t xml:space="preserve">En el lado opuesto, </w:t>
      </w:r>
      <w:r w:rsidR="00DC2F1A" w:rsidRPr="00665C91">
        <w:t xml:space="preserve">la reducción del compromiso puede tener numerosos efectos nocivos </w:t>
      </w:r>
      <w:r w:rsidR="008265B4" w:rsidRPr="00665C91">
        <w:t>en la cooperativa</w:t>
      </w:r>
      <w:r w:rsidR="00CC713E">
        <w:t xml:space="preserve">, tales </w:t>
      </w:r>
      <w:r w:rsidR="00124083" w:rsidRPr="008A7459">
        <w:t xml:space="preserve">como agudizar los problemas de costes de agencia </w:t>
      </w:r>
      <w:r w:rsidR="00124083">
        <w:t xml:space="preserve">o de propiedad </w:t>
      </w:r>
      <w:r w:rsidR="00CC713E">
        <w:t xml:space="preserve">común </w:t>
      </w:r>
      <w:r w:rsidR="00124083" w:rsidRPr="008A7459">
        <w:t xml:space="preserve">como </w:t>
      </w:r>
      <w:r w:rsidR="00CC713E">
        <w:t xml:space="preserve">los del </w:t>
      </w:r>
      <w:r w:rsidR="00124083" w:rsidRPr="008A7459">
        <w:t xml:space="preserve">horizonte temporal y </w:t>
      </w:r>
      <w:r w:rsidR="00110891" w:rsidRPr="00110891">
        <w:rPr>
          <w:i/>
        </w:rPr>
        <w:t>free-</w:t>
      </w:r>
      <w:proofErr w:type="spellStart"/>
      <w:r w:rsidR="00110891" w:rsidRPr="00110891">
        <w:rPr>
          <w:i/>
        </w:rPr>
        <w:t>riding</w:t>
      </w:r>
      <w:proofErr w:type="spellEnd"/>
      <w:r w:rsidR="00124083" w:rsidRPr="00665C91">
        <w:t xml:space="preserve"> </w:t>
      </w:r>
      <w:r w:rsidR="008265B4" w:rsidRPr="00665C91">
        <w:t>(</w:t>
      </w:r>
      <w:proofErr w:type="spellStart"/>
      <w:r w:rsidR="008265B4" w:rsidRPr="00665C91">
        <w:t>Bijman</w:t>
      </w:r>
      <w:proofErr w:type="spellEnd"/>
      <w:r w:rsidR="008265B4" w:rsidRPr="00665C91">
        <w:t xml:space="preserve"> y </w:t>
      </w:r>
      <w:proofErr w:type="spellStart"/>
      <w:r w:rsidR="008265B4" w:rsidRPr="00665C91">
        <w:t>Ruben</w:t>
      </w:r>
      <w:proofErr w:type="spellEnd"/>
      <w:r w:rsidR="008265B4" w:rsidRPr="00665C91">
        <w:t>, 2005).</w:t>
      </w:r>
    </w:p>
    <w:p w14:paraId="30D71721" w14:textId="77777777" w:rsidR="000D38D2" w:rsidRPr="00665C91" w:rsidRDefault="008265B4" w:rsidP="006D38D1">
      <w:r>
        <w:t xml:space="preserve">En el contexto que se acaba de exponer, </w:t>
      </w:r>
      <w:r w:rsidR="000D38D2" w:rsidRPr="00665C91">
        <w:t>el objetivo de</w:t>
      </w:r>
      <w:r>
        <w:t xml:space="preserve"> este </w:t>
      </w:r>
      <w:r w:rsidR="000D38D2" w:rsidRPr="00665C91">
        <w:t xml:space="preserve">trabajo </w:t>
      </w:r>
      <w:r>
        <w:t xml:space="preserve">es </w:t>
      </w:r>
      <w:r w:rsidR="000D38D2" w:rsidRPr="00665C91">
        <w:t>comprobar los factores explicativos del compromiso de l</w:t>
      </w:r>
      <w:r>
        <w:t xml:space="preserve">os socios con sus </w:t>
      </w:r>
      <w:r w:rsidR="000D38D2" w:rsidRPr="00665C91">
        <w:t xml:space="preserve">cooperativas. Por una parte, factores propios de la base social como </w:t>
      </w:r>
      <w:r>
        <w:t xml:space="preserve">su </w:t>
      </w:r>
      <w:r w:rsidR="000D38D2" w:rsidRPr="00665C91">
        <w:t>heterogeneidad y oportunismo</w:t>
      </w:r>
      <w:r>
        <w:t>. Y</w:t>
      </w:r>
      <w:r w:rsidR="000D38D2" w:rsidRPr="00665C91">
        <w:t xml:space="preserve">, por otra, factores </w:t>
      </w:r>
      <w:r w:rsidR="00844B99">
        <w:t xml:space="preserve">controlables por </w:t>
      </w:r>
      <w:r w:rsidR="000D38D2" w:rsidRPr="00665C91">
        <w:t xml:space="preserve">la cooperativa como los distintos mecanismos de gobierno que puede </w:t>
      </w:r>
      <w:r>
        <w:t xml:space="preserve">adoptar </w:t>
      </w:r>
      <w:r w:rsidR="000D38D2" w:rsidRPr="00665C91">
        <w:t xml:space="preserve">para controlar estos factores y que también pueden explicar por sí mismos el compromiso de los socios. Este análisis se va a realizar tanto </w:t>
      </w:r>
      <w:r w:rsidR="00987882">
        <w:t xml:space="preserve">en el caso </w:t>
      </w:r>
      <w:r w:rsidR="000D38D2" w:rsidRPr="00665C91">
        <w:t xml:space="preserve">de socios agricultores de cooperativas de primer grado, como de cooperativas de primer grado que están asociadas a una de segundo grado. Este </w:t>
      </w:r>
      <w:r w:rsidR="000D38D2" w:rsidRPr="00665C91">
        <w:lastRenderedPageBreak/>
        <w:t xml:space="preserve">segundo nivel de análisis nos permitirá comprobar cómo se explica el compromiso en estos dos tipos de relaciones </w:t>
      </w:r>
      <w:r w:rsidR="00F72675">
        <w:t>en el ámbito cooperativo</w:t>
      </w:r>
      <w:r w:rsidR="000D38D2" w:rsidRPr="00665C91">
        <w:t>.</w:t>
      </w:r>
    </w:p>
    <w:p w14:paraId="469F275A" w14:textId="77777777" w:rsidR="00F72DAC" w:rsidRPr="00665C91" w:rsidRDefault="00F72DAC" w:rsidP="00147284">
      <w:pPr>
        <w:pStyle w:val="Ttulo2"/>
      </w:pPr>
      <w:r w:rsidRPr="00665C91">
        <w:t>2.</w:t>
      </w:r>
      <w:r w:rsidR="002E42CE" w:rsidRPr="00665C91">
        <w:t xml:space="preserve"> Marco Teórico</w:t>
      </w:r>
    </w:p>
    <w:p w14:paraId="62B583C8" w14:textId="77777777" w:rsidR="00011E94" w:rsidRPr="00665C91" w:rsidRDefault="007C769B" w:rsidP="00155E4C">
      <w:pPr>
        <w:pStyle w:val="Ttulo3"/>
        <w:spacing w:after="120"/>
        <w:rPr>
          <w:rFonts w:ascii="Arial" w:hAnsi="Arial"/>
        </w:rPr>
      </w:pPr>
      <w:r w:rsidRPr="00665C91">
        <w:rPr>
          <w:rFonts w:ascii="Arial" w:hAnsi="Arial"/>
        </w:rPr>
        <w:t xml:space="preserve">2.1. Heterogeneidad </w:t>
      </w:r>
      <w:r w:rsidR="00CC178A">
        <w:rPr>
          <w:rFonts w:ascii="Arial" w:hAnsi="Arial"/>
        </w:rPr>
        <w:t>de los socios</w:t>
      </w:r>
    </w:p>
    <w:p w14:paraId="688D728F" w14:textId="77777777" w:rsidR="007C769B" w:rsidRPr="00665C91" w:rsidRDefault="00C34655" w:rsidP="00155E4C">
      <w:pPr>
        <w:spacing w:after="120"/>
      </w:pPr>
      <w:r>
        <w:t>La heterogeneidad en la base social de las cooperativas se manifiesta en la diversidad de objetivos e intereses que persiguen dentro de ésta. C</w:t>
      </w:r>
      <w:r w:rsidR="007C769B" w:rsidRPr="00665C91">
        <w:t xml:space="preserve">uando los intereses de los socios son más heterogéneos, el consenso es más difícil de conseguir, dando lugar a mayores niveles de conflicto y resistencia por parte de un mayor número de miembros a las decisiones finalmente adoptadas </w:t>
      </w:r>
      <w:r w:rsidR="00987882">
        <w:t xml:space="preserve">al </w:t>
      </w:r>
      <w:r w:rsidR="007C769B" w:rsidRPr="00665C91">
        <w:t>percibir que no les benefician directamente a ellos (</w:t>
      </w:r>
      <w:proofErr w:type="spellStart"/>
      <w:r w:rsidR="007C769B" w:rsidRPr="00665C91">
        <w:t>Sykuta</w:t>
      </w:r>
      <w:proofErr w:type="spellEnd"/>
      <w:r w:rsidR="007C769B" w:rsidRPr="00665C91">
        <w:t xml:space="preserve"> y Cook, 2001).</w:t>
      </w:r>
    </w:p>
    <w:p w14:paraId="1570CF2A" w14:textId="77777777" w:rsidR="007C769B" w:rsidRPr="00665C91" w:rsidRDefault="007C769B" w:rsidP="007C769B">
      <w:r w:rsidRPr="00665C91">
        <w:t xml:space="preserve">Igualmente, la mayor diversidad de los socios puede provocar que ante los acuerdos sobre distribución de costes/beneficios (costes y precios igualmente distribuidos), los miembros menos favorecidos por su situación distinta puedan mostrar un menor </w:t>
      </w:r>
      <w:r w:rsidR="00527E4C" w:rsidRPr="00665C91">
        <w:t>compromiso</w:t>
      </w:r>
      <w:r w:rsidRPr="00665C91">
        <w:t>. Por ejemplo, los socios que tienen mayor actividad contribuyen en mayor medida a la consecución de ahorros por economías de escala, pero obtienen los mismos precios y participan de los costes en la misma proporción que el resto (</w:t>
      </w:r>
      <w:proofErr w:type="spellStart"/>
      <w:r w:rsidRPr="00665C91">
        <w:t>Kyriakopoulos</w:t>
      </w:r>
      <w:proofErr w:type="spellEnd"/>
      <w:r w:rsidRPr="00665C91">
        <w:t xml:space="preserve"> </w:t>
      </w:r>
      <w:r w:rsidR="009B25C5" w:rsidRPr="009B25C5">
        <w:rPr>
          <w:i/>
        </w:rPr>
        <w:t>et al.</w:t>
      </w:r>
      <w:r w:rsidRPr="00665C91">
        <w:t>, 2004).</w:t>
      </w:r>
    </w:p>
    <w:p w14:paraId="23C8315C" w14:textId="77777777" w:rsidR="007C769B" w:rsidRPr="00665C91" w:rsidRDefault="007C769B" w:rsidP="007C769B">
      <w:r w:rsidRPr="00665C91">
        <w:t>Una mayor diversificación de las actividades, como la internacionalización, es cada vez más común en las cooperativas (</w:t>
      </w:r>
      <w:proofErr w:type="spellStart"/>
      <w:r w:rsidRPr="00665C91">
        <w:t>Fayos</w:t>
      </w:r>
      <w:proofErr w:type="spellEnd"/>
      <w:r w:rsidRPr="00665C91">
        <w:t xml:space="preserve"> </w:t>
      </w:r>
      <w:r w:rsidR="009B25C5" w:rsidRPr="009B25C5">
        <w:rPr>
          <w:i/>
        </w:rPr>
        <w:t>et al.</w:t>
      </w:r>
      <w:r w:rsidRPr="00665C91">
        <w:t>, 2011). Algunas de estas actividades son complejas y todos los miembros pueden no entenderlas, tener poco conocimiento y estar distanciados de ellas. Los socios pueden participar en distintos niveles de las actividades de la cooperativa y no tienen información ni conocen todo lo que ocurre en ésta. La amplia diversidad de los socios se traduce en que trabajan bajo diversas condiciones y pueden perseguir intereses encontrados, lo que puede promover una actitud de pasividad en la colaboración con la cooperativa (</w:t>
      </w:r>
      <w:proofErr w:type="spellStart"/>
      <w:r w:rsidRPr="00665C91">
        <w:t>Österberg</w:t>
      </w:r>
      <w:proofErr w:type="spellEnd"/>
      <w:r w:rsidRPr="00665C91">
        <w:t xml:space="preserve"> y </w:t>
      </w:r>
      <w:proofErr w:type="spellStart"/>
      <w:r w:rsidRPr="00665C91">
        <w:t>Nilsson</w:t>
      </w:r>
      <w:proofErr w:type="spellEnd"/>
      <w:r w:rsidRPr="00665C91">
        <w:t xml:space="preserve">, 2009). Además, como resalta </w:t>
      </w:r>
      <w:proofErr w:type="spellStart"/>
      <w:r w:rsidRPr="00665C91">
        <w:t>Tirole</w:t>
      </w:r>
      <w:proofErr w:type="spellEnd"/>
      <w:r w:rsidRPr="00665C91">
        <w:t xml:space="preserve"> (2001), la multiplicidad de objetivos e intereses hace mucho más difícil establecer un sistema de incentivos.</w:t>
      </w:r>
    </w:p>
    <w:p w14:paraId="521A6B9D" w14:textId="77777777" w:rsidR="007C769B" w:rsidRPr="00665C91" w:rsidRDefault="007C769B" w:rsidP="007C769B">
      <w:r w:rsidRPr="00665C91">
        <w:t xml:space="preserve">Por lo tanto, la heterogeneidad en la base social de la cooperativa </w:t>
      </w:r>
      <w:r w:rsidR="00527E4C" w:rsidRPr="00665C91">
        <w:t>genera</w:t>
      </w:r>
      <w:r w:rsidRPr="00665C91">
        <w:t xml:space="preserve"> un clima de incertidumbre (</w:t>
      </w:r>
      <w:proofErr w:type="spellStart"/>
      <w:r w:rsidRPr="00665C91">
        <w:t>Nilsson</w:t>
      </w:r>
      <w:proofErr w:type="spellEnd"/>
      <w:r w:rsidRPr="00665C91">
        <w:t xml:space="preserve">, 2010), que se traduce en una menor </w:t>
      </w:r>
      <w:r w:rsidR="00527E4C" w:rsidRPr="00665C91">
        <w:t>compromiso</w:t>
      </w:r>
      <w:r w:rsidRPr="00665C91">
        <w:t xml:space="preserve"> </w:t>
      </w:r>
      <w:r w:rsidR="00527E4C" w:rsidRPr="00665C91">
        <w:t>con</w:t>
      </w:r>
      <w:r w:rsidRPr="00665C91">
        <w:t xml:space="preserve"> la cooperativa. Establecemos así la siguiente hipótesis:</w:t>
      </w:r>
    </w:p>
    <w:p w14:paraId="5A9F5407" w14:textId="77777777" w:rsidR="007C769B" w:rsidRPr="00665C91" w:rsidRDefault="007C769B" w:rsidP="007C769B">
      <w:pPr>
        <w:rPr>
          <w:i/>
        </w:rPr>
      </w:pPr>
      <w:r w:rsidRPr="00665C91">
        <w:rPr>
          <w:i/>
        </w:rPr>
        <w:t xml:space="preserve">H1: La heterogeneidad de </w:t>
      </w:r>
      <w:r w:rsidR="00665C91" w:rsidRPr="00665C91">
        <w:rPr>
          <w:i/>
        </w:rPr>
        <w:t>l</w:t>
      </w:r>
      <w:r w:rsidR="00987882">
        <w:rPr>
          <w:i/>
        </w:rPr>
        <w:t xml:space="preserve">os socios </w:t>
      </w:r>
      <w:r w:rsidRPr="00665C91">
        <w:rPr>
          <w:i/>
        </w:rPr>
        <w:t xml:space="preserve">disminuye su </w:t>
      </w:r>
      <w:r w:rsidR="00527E4C" w:rsidRPr="00665C91">
        <w:rPr>
          <w:i/>
        </w:rPr>
        <w:t>compromiso con</w:t>
      </w:r>
      <w:r w:rsidRPr="00665C91">
        <w:rPr>
          <w:i/>
        </w:rPr>
        <w:t xml:space="preserve"> la cooperativa.</w:t>
      </w:r>
    </w:p>
    <w:p w14:paraId="2D678342" w14:textId="77777777" w:rsidR="007C769B" w:rsidRPr="00665C91" w:rsidRDefault="00527E4C" w:rsidP="00155E4C">
      <w:pPr>
        <w:pStyle w:val="Ttulo3"/>
        <w:spacing w:after="120"/>
        <w:rPr>
          <w:rFonts w:ascii="Arial" w:hAnsi="Arial"/>
        </w:rPr>
      </w:pPr>
      <w:r w:rsidRPr="00665C91">
        <w:rPr>
          <w:rFonts w:ascii="Arial" w:hAnsi="Arial"/>
        </w:rPr>
        <w:t xml:space="preserve">2.2. Oportunismo </w:t>
      </w:r>
      <w:r w:rsidR="00CC178A">
        <w:rPr>
          <w:rFonts w:ascii="Arial" w:hAnsi="Arial"/>
        </w:rPr>
        <w:t>de los socios</w:t>
      </w:r>
    </w:p>
    <w:p w14:paraId="77235856" w14:textId="77777777" w:rsidR="00527E4C" w:rsidRPr="00665C91" w:rsidRDefault="00651CDB" w:rsidP="00155E4C">
      <w:pPr>
        <w:spacing w:after="120"/>
        <w:rPr>
          <w:rFonts w:eastAsia="Calibri" w:cs="Times New Roman"/>
        </w:rPr>
      </w:pPr>
      <w:r>
        <w:rPr>
          <w:rFonts w:eastAsia="Calibri" w:cs="Times New Roman"/>
        </w:rPr>
        <w:t>El oportunismo se define como “la búsqueda del interés propio con astucia”</w:t>
      </w:r>
      <w:r>
        <w:rPr>
          <w:rFonts w:eastAsia="Calibri" w:cs="Times New Roman"/>
          <w:color w:val="000000"/>
          <w:szCs w:val="24"/>
        </w:rPr>
        <w:t xml:space="preserve"> (</w:t>
      </w:r>
      <w:proofErr w:type="spellStart"/>
      <w:r>
        <w:rPr>
          <w:rFonts w:eastAsia="Calibri" w:cs="Times New Roman"/>
        </w:rPr>
        <w:t>Williamson</w:t>
      </w:r>
      <w:proofErr w:type="spellEnd"/>
      <w:r>
        <w:rPr>
          <w:rFonts w:eastAsia="Calibri" w:cs="Times New Roman"/>
        </w:rPr>
        <w:t xml:space="preserve"> 1985: 47) y abarca comportamientos tales como engañar, hacer trampas, ocultar información u otras formas más sutiles de violar un acuerdo. </w:t>
      </w:r>
      <w:r w:rsidR="00527E4C" w:rsidRPr="00665C91">
        <w:rPr>
          <w:rFonts w:eastAsia="Calibri" w:cs="Times New Roman"/>
        </w:rPr>
        <w:t>El problema más grave del oportunismo percibido por los socios en es que disuade de colaborar e invertir en la cooperativa ante la incertidumbre que generan estos comportamientos (</w:t>
      </w:r>
      <w:proofErr w:type="spellStart"/>
      <w:r w:rsidR="00527E4C" w:rsidRPr="00665C91">
        <w:rPr>
          <w:rFonts w:eastAsia="Calibri" w:cs="Times New Roman"/>
        </w:rPr>
        <w:t>Rokkan</w:t>
      </w:r>
      <w:proofErr w:type="spellEnd"/>
      <w:r w:rsidR="00527E4C" w:rsidRPr="00665C91">
        <w:rPr>
          <w:rFonts w:eastAsia="Calibri" w:cs="Times New Roman"/>
        </w:rPr>
        <w:t xml:space="preserve"> </w:t>
      </w:r>
      <w:r w:rsidR="009B25C5" w:rsidRPr="009B25C5">
        <w:rPr>
          <w:rFonts w:eastAsia="Calibri" w:cs="Times New Roman"/>
          <w:i/>
        </w:rPr>
        <w:t>et al.</w:t>
      </w:r>
      <w:r w:rsidR="00527E4C" w:rsidRPr="00665C91">
        <w:rPr>
          <w:rFonts w:eastAsia="Calibri" w:cs="Times New Roman"/>
          <w:i/>
        </w:rPr>
        <w:t>,</w:t>
      </w:r>
      <w:r w:rsidR="00527E4C" w:rsidRPr="00665C91">
        <w:rPr>
          <w:rFonts w:eastAsia="Calibri" w:cs="Times New Roman"/>
        </w:rPr>
        <w:t xml:space="preserve"> 2003). En las organizaciones cooperativas, las consecuencias de cualquier comportamiento oportunista recaen sobre el conjunto de los socios, lo que les genera reticencias para comprometerse al no ver suficientemente salvaguardados sus intereses. También se puede producir una reducción del compromiso como un comportamiento oportunista </w:t>
      </w:r>
      <w:r w:rsidR="00527E4C" w:rsidRPr="00665C91">
        <w:rPr>
          <w:rFonts w:eastAsia="Calibri" w:cs="Times New Roman"/>
          <w:i/>
        </w:rPr>
        <w:t xml:space="preserve">per se, </w:t>
      </w:r>
      <w:r w:rsidR="00527E4C" w:rsidRPr="00665C91">
        <w:rPr>
          <w:rFonts w:eastAsia="Calibri" w:cs="Times New Roman"/>
        </w:rPr>
        <w:t>es decir, un comportamiento oportunista de</w:t>
      </w:r>
      <w:r w:rsidR="00527E4C" w:rsidRPr="00665C91">
        <w:rPr>
          <w:rFonts w:eastAsia="Calibri" w:cs="Times New Roman"/>
          <w:i/>
        </w:rPr>
        <w:t xml:space="preserve"> </w:t>
      </w:r>
      <w:r w:rsidR="00527E4C" w:rsidRPr="00665C91">
        <w:rPr>
          <w:rFonts w:eastAsia="Calibri" w:cs="Times New Roman"/>
        </w:rPr>
        <w:t>no colabora</w:t>
      </w:r>
      <w:r w:rsidR="00C7079B">
        <w:rPr>
          <w:rFonts w:eastAsia="Calibri" w:cs="Times New Roman"/>
        </w:rPr>
        <w:t>r o comprometerse</w:t>
      </w:r>
      <w:r w:rsidR="00527E4C" w:rsidRPr="00665C91">
        <w:rPr>
          <w:rFonts w:eastAsia="Calibri" w:cs="Times New Roman"/>
        </w:rPr>
        <w:t xml:space="preserve"> por intereses </w:t>
      </w:r>
      <w:r w:rsidR="00C7079B">
        <w:rPr>
          <w:rFonts w:eastAsia="Calibri" w:cs="Times New Roman"/>
        </w:rPr>
        <w:t xml:space="preserve">comunes </w:t>
      </w:r>
      <w:r w:rsidR="00527E4C" w:rsidRPr="00665C91">
        <w:rPr>
          <w:rFonts w:eastAsia="Calibri" w:cs="Times New Roman"/>
        </w:rPr>
        <w:t>cuando estos no les benefician</w:t>
      </w:r>
      <w:r w:rsidR="00C7079B">
        <w:rPr>
          <w:rFonts w:eastAsia="Calibri" w:cs="Times New Roman"/>
        </w:rPr>
        <w:t xml:space="preserve"> individualmente</w:t>
      </w:r>
      <w:r w:rsidR="00527E4C" w:rsidRPr="00665C91">
        <w:rPr>
          <w:rFonts w:eastAsia="Calibri" w:cs="Times New Roman"/>
        </w:rPr>
        <w:t>. Esto nos lleva a plantear que:</w:t>
      </w:r>
    </w:p>
    <w:p w14:paraId="2200C185" w14:textId="77777777" w:rsidR="00527E4C" w:rsidRPr="00665C91" w:rsidRDefault="00527E4C" w:rsidP="00527E4C">
      <w:pPr>
        <w:rPr>
          <w:rFonts w:eastAsia="Calibri" w:cs="Times New Roman"/>
          <w:i/>
        </w:rPr>
      </w:pPr>
      <w:r w:rsidRPr="00665C91">
        <w:rPr>
          <w:rFonts w:eastAsia="Calibri" w:cs="Times New Roman"/>
          <w:i/>
        </w:rPr>
        <w:t xml:space="preserve">H2: El oportunismo de </w:t>
      </w:r>
      <w:r w:rsidR="00665C91" w:rsidRPr="00665C91">
        <w:rPr>
          <w:rFonts w:eastAsia="Calibri" w:cs="Times New Roman"/>
          <w:i/>
        </w:rPr>
        <w:t>l</w:t>
      </w:r>
      <w:r w:rsidR="00CC178A">
        <w:rPr>
          <w:rFonts w:eastAsia="Calibri" w:cs="Times New Roman"/>
          <w:i/>
        </w:rPr>
        <w:t xml:space="preserve">os socios </w:t>
      </w:r>
      <w:r w:rsidRPr="00665C91">
        <w:rPr>
          <w:rFonts w:eastAsia="Calibri" w:cs="Times New Roman"/>
          <w:i/>
        </w:rPr>
        <w:t>disminuye su compromiso con la cooperativa.</w:t>
      </w:r>
    </w:p>
    <w:p w14:paraId="120CE2E9" w14:textId="77777777" w:rsidR="00527E4C" w:rsidRPr="00665C91" w:rsidRDefault="00527E4C" w:rsidP="00527E4C">
      <w:pPr>
        <w:rPr>
          <w:rFonts w:eastAsia="Calibri" w:cs="Times New Roman"/>
        </w:rPr>
      </w:pPr>
      <w:r w:rsidRPr="00665C91">
        <w:rPr>
          <w:rFonts w:eastAsia="Calibri" w:cs="Times New Roman"/>
        </w:rPr>
        <w:t xml:space="preserve">La multiplicidad de objetivos y situaciones que se dan en una base social heterogénea hace que los objetivos de la cooperativa no estén bien definidos, aumentando la </w:t>
      </w:r>
      <w:r w:rsidRPr="00665C91">
        <w:rPr>
          <w:rFonts w:eastAsia="Calibri" w:cs="Times New Roman"/>
        </w:rPr>
        <w:lastRenderedPageBreak/>
        <w:t>discrecionalidad de los miembros para tomar decisiones que les beneficien en detrimento del beneficio colectivo, esto es, adoptando comportamientos oportunistas (</w:t>
      </w:r>
      <w:proofErr w:type="spellStart"/>
      <w:r w:rsidRPr="00665C91">
        <w:rPr>
          <w:rFonts w:eastAsia="Calibri" w:cs="Times New Roman"/>
        </w:rPr>
        <w:t>Gripsrud</w:t>
      </w:r>
      <w:proofErr w:type="spellEnd"/>
      <w:r w:rsidRPr="00665C91">
        <w:rPr>
          <w:rFonts w:eastAsia="Calibri" w:cs="Times New Roman"/>
        </w:rPr>
        <w:t xml:space="preserve"> </w:t>
      </w:r>
      <w:r w:rsidR="009B25C5" w:rsidRPr="009B25C5">
        <w:rPr>
          <w:rFonts w:eastAsia="Calibri" w:cs="Times New Roman"/>
          <w:i/>
        </w:rPr>
        <w:t>et al.</w:t>
      </w:r>
      <w:r w:rsidRPr="00665C91">
        <w:rPr>
          <w:rFonts w:eastAsia="Calibri" w:cs="Times New Roman"/>
        </w:rPr>
        <w:t xml:space="preserve">, 2000; </w:t>
      </w:r>
      <w:proofErr w:type="spellStart"/>
      <w:r w:rsidRPr="00665C91">
        <w:rPr>
          <w:rFonts w:eastAsia="Calibri" w:cs="Times New Roman"/>
        </w:rPr>
        <w:t>Kalogeras</w:t>
      </w:r>
      <w:proofErr w:type="spellEnd"/>
      <w:r w:rsidRPr="00665C91">
        <w:rPr>
          <w:rFonts w:eastAsia="Calibri" w:cs="Times New Roman"/>
        </w:rPr>
        <w:t xml:space="preserve"> </w:t>
      </w:r>
      <w:r w:rsidR="009B25C5" w:rsidRPr="009B25C5">
        <w:rPr>
          <w:rFonts w:eastAsia="Calibri" w:cs="Times New Roman"/>
          <w:i/>
        </w:rPr>
        <w:t>et al.</w:t>
      </w:r>
      <w:r w:rsidRPr="00665C91">
        <w:rPr>
          <w:rFonts w:eastAsia="Calibri" w:cs="Times New Roman"/>
        </w:rPr>
        <w:t>, 2009).</w:t>
      </w:r>
    </w:p>
    <w:p w14:paraId="1369C516" w14:textId="77777777" w:rsidR="00527E4C" w:rsidRPr="00665C91" w:rsidRDefault="00CC178A" w:rsidP="00527E4C">
      <w:pPr>
        <w:rPr>
          <w:rFonts w:eastAsia="Calibri" w:cs="Times New Roman"/>
        </w:rPr>
      </w:pPr>
      <w:r>
        <w:rPr>
          <w:rFonts w:eastAsia="Calibri" w:cs="Times New Roman"/>
        </w:rPr>
        <w:t xml:space="preserve">La </w:t>
      </w:r>
      <w:r w:rsidR="00527E4C" w:rsidRPr="00665C91">
        <w:rPr>
          <w:rFonts w:eastAsia="Calibri" w:cs="Times New Roman"/>
        </w:rPr>
        <w:t xml:space="preserve">heterogeneidad de los miembros </w:t>
      </w:r>
      <w:r>
        <w:rPr>
          <w:rFonts w:eastAsia="Calibri" w:cs="Times New Roman"/>
        </w:rPr>
        <w:t xml:space="preserve">también </w:t>
      </w:r>
      <w:r w:rsidR="00527E4C" w:rsidRPr="00665C91">
        <w:rPr>
          <w:rFonts w:eastAsia="Calibri" w:cs="Times New Roman"/>
        </w:rPr>
        <w:t xml:space="preserve">incrementa el oportunismo </w:t>
      </w:r>
      <w:r>
        <w:rPr>
          <w:rFonts w:eastAsia="Calibri" w:cs="Times New Roman"/>
        </w:rPr>
        <w:t xml:space="preserve">cuando </w:t>
      </w:r>
      <w:r w:rsidR="00527E4C" w:rsidRPr="00665C91">
        <w:rPr>
          <w:rFonts w:eastAsia="Calibri" w:cs="Times New Roman"/>
        </w:rPr>
        <w:t>se requieren renegociaciones continuas de los acuerdos. Esta</w:t>
      </w:r>
      <w:r w:rsidR="00882CE9" w:rsidRPr="00665C91">
        <w:rPr>
          <w:rFonts w:eastAsia="Calibri" w:cs="Times New Roman"/>
        </w:rPr>
        <w:t>s</w:t>
      </w:r>
      <w:r w:rsidR="00527E4C" w:rsidRPr="00665C91">
        <w:rPr>
          <w:rFonts w:eastAsia="Calibri" w:cs="Times New Roman"/>
        </w:rPr>
        <w:t xml:space="preserve"> renegociaciones entre las partes conllevan, inherentemente, un grado de confrontación y mayores oportunidades para comportamientos interesados (Carson </w:t>
      </w:r>
      <w:r w:rsidR="009B25C5" w:rsidRPr="009B25C5">
        <w:rPr>
          <w:rFonts w:eastAsia="Calibri" w:cs="Times New Roman"/>
          <w:i/>
        </w:rPr>
        <w:t>et al.</w:t>
      </w:r>
      <w:r w:rsidR="00527E4C" w:rsidRPr="00665C91">
        <w:rPr>
          <w:rFonts w:eastAsia="Calibri" w:cs="Times New Roman"/>
          <w:i/>
        </w:rPr>
        <w:t>,</w:t>
      </w:r>
      <w:r w:rsidR="00527E4C" w:rsidRPr="00665C91">
        <w:rPr>
          <w:rFonts w:eastAsia="Calibri" w:cs="Times New Roman"/>
        </w:rPr>
        <w:t xml:space="preserve"> 2004). Por ejemplo, los miembros que tienen mayores inversiones específicas en la cooperativa, de cara a las renegociaciones están en desventaja dado su deseo de continuar en la cooperativa (ya que actúan como rehén) y, por tanto, son más vulnerables al oportunismo de otros miembros que muestran reticencias a </w:t>
      </w:r>
      <w:r w:rsidR="008B6373">
        <w:rPr>
          <w:rFonts w:eastAsia="Calibri" w:cs="Times New Roman"/>
        </w:rPr>
        <w:t>colaborar</w:t>
      </w:r>
      <w:r w:rsidR="00527E4C" w:rsidRPr="00665C91">
        <w:rPr>
          <w:rFonts w:eastAsia="Calibri" w:cs="Times New Roman"/>
        </w:rPr>
        <w:t xml:space="preserve"> aunque vaya en contra del interés general (</w:t>
      </w:r>
      <w:proofErr w:type="spellStart"/>
      <w:r w:rsidR="00527E4C" w:rsidRPr="00665C91">
        <w:rPr>
          <w:rFonts w:eastAsia="Calibri" w:cs="Times New Roman"/>
        </w:rPr>
        <w:t>Hart</w:t>
      </w:r>
      <w:proofErr w:type="spellEnd"/>
      <w:r w:rsidR="00527E4C" w:rsidRPr="00665C91">
        <w:rPr>
          <w:rFonts w:eastAsia="Calibri" w:cs="Times New Roman"/>
        </w:rPr>
        <w:t xml:space="preserve"> y Moore, 1990).</w:t>
      </w:r>
    </w:p>
    <w:p w14:paraId="5BBA988F" w14:textId="77777777" w:rsidR="00527E4C" w:rsidRPr="00665C91" w:rsidRDefault="00527E4C" w:rsidP="00527E4C">
      <w:pPr>
        <w:rPr>
          <w:rFonts w:eastAsia="Calibri" w:cs="Times New Roman"/>
        </w:rPr>
      </w:pPr>
      <w:r w:rsidRPr="00665C91">
        <w:rPr>
          <w:rFonts w:eastAsia="Calibri" w:cs="Times New Roman"/>
        </w:rPr>
        <w:t>Hay que añadir que la heterogeneidad también provoca que el control de los socios se vuelva más problemático al tratarse de una base social mayor y más diversa (</w:t>
      </w:r>
      <w:proofErr w:type="spellStart"/>
      <w:r w:rsidRPr="00665C91">
        <w:rPr>
          <w:rFonts w:eastAsia="Calibri" w:cs="Times New Roman"/>
        </w:rPr>
        <w:t>Fulton</w:t>
      </w:r>
      <w:proofErr w:type="spellEnd"/>
      <w:r w:rsidRPr="00665C91">
        <w:rPr>
          <w:rFonts w:eastAsia="Calibri" w:cs="Times New Roman"/>
        </w:rPr>
        <w:t xml:space="preserve"> y </w:t>
      </w:r>
      <w:proofErr w:type="spellStart"/>
      <w:r w:rsidRPr="00665C91">
        <w:rPr>
          <w:rFonts w:eastAsia="Calibri" w:cs="Times New Roman"/>
        </w:rPr>
        <w:t>Giannakas</w:t>
      </w:r>
      <w:proofErr w:type="spellEnd"/>
      <w:r w:rsidRPr="00665C91">
        <w:rPr>
          <w:rFonts w:eastAsia="Calibri" w:cs="Times New Roman"/>
        </w:rPr>
        <w:t>, 2001), lo que se presenta como un ambiente más favorable para potenciales comportamientos oportunistas. Por tanto, postulamos que:</w:t>
      </w:r>
    </w:p>
    <w:p w14:paraId="207B8F4D" w14:textId="77777777" w:rsidR="00527E4C" w:rsidRPr="00665C91" w:rsidRDefault="00527E4C" w:rsidP="00527E4C">
      <w:pPr>
        <w:rPr>
          <w:rFonts w:eastAsia="Calibri" w:cs="Times New Roman"/>
          <w:i/>
        </w:rPr>
      </w:pPr>
      <w:r w:rsidRPr="00665C91">
        <w:rPr>
          <w:rFonts w:eastAsia="Calibri" w:cs="Times New Roman"/>
          <w:i/>
        </w:rPr>
        <w:t xml:space="preserve">H3: La heterogeneidad de </w:t>
      </w:r>
      <w:r w:rsidR="00665C91" w:rsidRPr="00665C91">
        <w:rPr>
          <w:rFonts w:eastAsia="Calibri" w:cs="Times New Roman"/>
          <w:i/>
        </w:rPr>
        <w:t>l</w:t>
      </w:r>
      <w:r w:rsidR="009869A3">
        <w:rPr>
          <w:rFonts w:eastAsia="Calibri" w:cs="Times New Roman"/>
          <w:i/>
        </w:rPr>
        <w:t>os socios</w:t>
      </w:r>
      <w:r w:rsidRPr="00665C91">
        <w:rPr>
          <w:rFonts w:eastAsia="Calibri" w:cs="Times New Roman"/>
          <w:i/>
        </w:rPr>
        <w:t xml:space="preserve"> incrementa su oportunismo.</w:t>
      </w:r>
    </w:p>
    <w:p w14:paraId="3F353F49" w14:textId="77777777" w:rsidR="00527E4C" w:rsidRPr="00665C91" w:rsidRDefault="00882CE9" w:rsidP="00155E4C">
      <w:pPr>
        <w:pStyle w:val="Ttulo3"/>
        <w:spacing w:after="120"/>
        <w:rPr>
          <w:rFonts w:ascii="Arial" w:hAnsi="Arial"/>
        </w:rPr>
      </w:pPr>
      <w:r w:rsidRPr="00665C91">
        <w:rPr>
          <w:rFonts w:ascii="Arial" w:hAnsi="Arial"/>
        </w:rPr>
        <w:t>2.3. Mecanismos de gobierno</w:t>
      </w:r>
    </w:p>
    <w:p w14:paraId="78C9A3D7" w14:textId="77777777" w:rsidR="00147284" w:rsidRPr="00665C91" w:rsidRDefault="00147284" w:rsidP="00155E4C">
      <w:pPr>
        <w:spacing w:after="120"/>
      </w:pPr>
      <w:r w:rsidRPr="00665C91">
        <w:t xml:space="preserve">Para reducir estos riesgos de oportunismo </w:t>
      </w:r>
      <w:r w:rsidR="00AB1AA6" w:rsidRPr="00665C91">
        <w:t>la literatura recomienda</w:t>
      </w:r>
      <w:r w:rsidRPr="00665C91">
        <w:t xml:space="preserve"> adoptar estrategias de gobierno (</w:t>
      </w:r>
      <w:proofErr w:type="spellStart"/>
      <w:r w:rsidRPr="00665C91">
        <w:t>Mohr</w:t>
      </w:r>
      <w:proofErr w:type="spellEnd"/>
      <w:r w:rsidRPr="00665C91">
        <w:t xml:space="preserve"> y </w:t>
      </w:r>
      <w:proofErr w:type="spellStart"/>
      <w:r w:rsidRPr="00665C91">
        <w:t>Sengupta</w:t>
      </w:r>
      <w:proofErr w:type="spellEnd"/>
      <w:r w:rsidRPr="00665C91">
        <w:t xml:space="preserve">, 2002). Son muchos los autores que han propuesto diferentes mecanismos de gobierno para las relaciones </w:t>
      </w:r>
      <w:proofErr w:type="spellStart"/>
      <w:r w:rsidRPr="00665C91">
        <w:t>interorganizacionales</w:t>
      </w:r>
      <w:proofErr w:type="spellEnd"/>
      <w:r w:rsidRPr="00665C91">
        <w:t xml:space="preserve"> (</w:t>
      </w:r>
      <w:proofErr w:type="spellStart"/>
      <w:r w:rsidRPr="00665C91">
        <w:t>p.e</w:t>
      </w:r>
      <w:proofErr w:type="spellEnd"/>
      <w:r w:rsidRPr="00665C91">
        <w:t xml:space="preserve">. </w:t>
      </w:r>
      <w:proofErr w:type="spellStart"/>
      <w:r w:rsidRPr="00665C91">
        <w:t>Dyer</w:t>
      </w:r>
      <w:proofErr w:type="spellEnd"/>
      <w:r w:rsidRPr="00665C91">
        <w:t xml:space="preserve"> y Singh, 1998; </w:t>
      </w:r>
      <w:proofErr w:type="spellStart"/>
      <w:r w:rsidRPr="00665C91">
        <w:t>Wathne</w:t>
      </w:r>
      <w:proofErr w:type="spellEnd"/>
      <w:r w:rsidRPr="00665C91">
        <w:t xml:space="preserve"> y </w:t>
      </w:r>
      <w:proofErr w:type="spellStart"/>
      <w:r w:rsidRPr="00665C91">
        <w:t>Heide</w:t>
      </w:r>
      <w:proofErr w:type="spellEnd"/>
      <w:r w:rsidRPr="00665C91">
        <w:t xml:space="preserve">, 2000; </w:t>
      </w:r>
      <w:proofErr w:type="spellStart"/>
      <w:r w:rsidRPr="00665C91">
        <w:t>Mohr</w:t>
      </w:r>
      <w:proofErr w:type="spellEnd"/>
      <w:r w:rsidRPr="00665C91">
        <w:t xml:space="preserve"> y </w:t>
      </w:r>
      <w:proofErr w:type="spellStart"/>
      <w:r w:rsidRPr="00665C91">
        <w:t>Sengupta</w:t>
      </w:r>
      <w:proofErr w:type="spellEnd"/>
      <w:r w:rsidRPr="00665C91">
        <w:t xml:space="preserve">, 2002), siendo </w:t>
      </w:r>
      <w:proofErr w:type="spellStart"/>
      <w:r w:rsidRPr="00665C91">
        <w:t>Wathne</w:t>
      </w:r>
      <w:proofErr w:type="spellEnd"/>
      <w:r w:rsidRPr="00665C91">
        <w:t xml:space="preserve"> y </w:t>
      </w:r>
      <w:proofErr w:type="spellStart"/>
      <w:r w:rsidRPr="00665C91">
        <w:t>Heide</w:t>
      </w:r>
      <w:proofErr w:type="spellEnd"/>
      <w:r w:rsidRPr="00665C91">
        <w:t xml:space="preserve"> (2000) quienes más explícitamente analizan el potencial de los mecanismos de gobierno para reducir el oportunismo. Concretamente, señala</w:t>
      </w:r>
      <w:r w:rsidR="00CC178A">
        <w:t>n</w:t>
      </w:r>
      <w:r w:rsidRPr="00665C91">
        <w:t xml:space="preserve"> como mecanismos adecuados para </w:t>
      </w:r>
      <w:r w:rsidR="00B85EAC">
        <w:t xml:space="preserve">su </w:t>
      </w:r>
      <w:r w:rsidRPr="00665C91">
        <w:t>control la supervisión, los incentivos, la selección y la socialización</w:t>
      </w:r>
      <w:r w:rsidR="00665C91" w:rsidRPr="00665C91">
        <w:t>. P</w:t>
      </w:r>
      <w:r w:rsidR="00B85EAC">
        <w:t>or ello, p</w:t>
      </w:r>
      <w:r w:rsidR="00665C91" w:rsidRPr="00665C91">
        <w:t xml:space="preserve">roponemos </w:t>
      </w:r>
      <w:r w:rsidR="00B85EAC">
        <w:t>que</w:t>
      </w:r>
      <w:r w:rsidR="00665C91" w:rsidRPr="00665C91">
        <w:t>:</w:t>
      </w:r>
    </w:p>
    <w:p w14:paraId="6A9F6484" w14:textId="77777777" w:rsidR="00665C91" w:rsidRPr="00665C91" w:rsidRDefault="00665C91" w:rsidP="00147284">
      <w:pPr>
        <w:rPr>
          <w:i/>
        </w:rPr>
      </w:pPr>
      <w:r w:rsidRPr="00665C91">
        <w:rPr>
          <w:i/>
        </w:rPr>
        <w:t xml:space="preserve">H4: Los mecanismos de gobierno </w:t>
      </w:r>
      <w:r w:rsidR="00B85EAC">
        <w:rPr>
          <w:i/>
        </w:rPr>
        <w:t xml:space="preserve">adoptados por la cooperativa </w:t>
      </w:r>
      <w:r w:rsidRPr="00665C91">
        <w:rPr>
          <w:i/>
        </w:rPr>
        <w:t xml:space="preserve">reducen el oportunismo </w:t>
      </w:r>
      <w:r w:rsidR="00B85EAC">
        <w:rPr>
          <w:i/>
        </w:rPr>
        <w:t>de sus socios</w:t>
      </w:r>
      <w:r w:rsidRPr="00665C91">
        <w:rPr>
          <w:i/>
        </w:rPr>
        <w:t>.</w:t>
      </w:r>
    </w:p>
    <w:p w14:paraId="7FE00E11" w14:textId="77777777" w:rsidR="00665C91" w:rsidRDefault="009869A3" w:rsidP="00665C91">
      <w:pPr>
        <w:rPr>
          <w:rFonts w:eastAsia="Calibri" w:cs="Times New Roman"/>
        </w:rPr>
      </w:pPr>
      <w:r>
        <w:rPr>
          <w:rFonts w:eastAsia="Calibri" w:cs="Times New Roman"/>
        </w:rPr>
        <w:t>L</w:t>
      </w:r>
      <w:r w:rsidR="00665C91" w:rsidRPr="00665C91">
        <w:rPr>
          <w:rFonts w:eastAsia="Calibri" w:cs="Times New Roman"/>
        </w:rPr>
        <w:t>os mecanismos de gobierno facilitan la creación de rutinas de intercambio de conocimiento (</w:t>
      </w:r>
      <w:proofErr w:type="spellStart"/>
      <w:r w:rsidR="00665C91" w:rsidRPr="00665C91">
        <w:rPr>
          <w:rFonts w:eastAsia="Calibri" w:cs="Times New Roman"/>
        </w:rPr>
        <w:t>Dyer</w:t>
      </w:r>
      <w:proofErr w:type="spellEnd"/>
      <w:r w:rsidR="00665C91" w:rsidRPr="00665C91">
        <w:rPr>
          <w:rFonts w:eastAsia="Calibri" w:cs="Times New Roman"/>
        </w:rPr>
        <w:t xml:space="preserve"> y Singh, 1998; Hernández-Espallardo </w:t>
      </w:r>
      <w:r w:rsidR="009B25C5" w:rsidRPr="009B25C5">
        <w:rPr>
          <w:rFonts w:eastAsia="Calibri" w:cs="Times New Roman"/>
          <w:i/>
        </w:rPr>
        <w:t>et al.</w:t>
      </w:r>
      <w:r w:rsidR="00665C91" w:rsidRPr="00665C91">
        <w:rPr>
          <w:rFonts w:eastAsia="Calibri" w:cs="Times New Roman"/>
        </w:rPr>
        <w:t>, 2010), entendiendo estas rutinas como interacciones entre las partes que permiten la transferencia, recombinación, o creación de conocimiento específico (</w:t>
      </w:r>
      <w:proofErr w:type="spellStart"/>
      <w:r w:rsidR="00665C91" w:rsidRPr="00665C91">
        <w:rPr>
          <w:rFonts w:eastAsia="Calibri" w:cs="Times New Roman"/>
        </w:rPr>
        <w:t>Dyer</w:t>
      </w:r>
      <w:proofErr w:type="spellEnd"/>
      <w:r w:rsidR="00665C91" w:rsidRPr="00665C91">
        <w:rPr>
          <w:rFonts w:eastAsia="Calibri" w:cs="Times New Roman"/>
        </w:rPr>
        <w:t xml:space="preserve"> y Singh, 1998). Compartir conocimientos y aprender de la otra parte mejora su habilidad para desempeñar su papel más eficientemente (</w:t>
      </w:r>
      <w:proofErr w:type="spellStart"/>
      <w:r w:rsidR="00665C91" w:rsidRPr="00665C91">
        <w:rPr>
          <w:rFonts w:eastAsia="Calibri" w:cs="Times New Roman"/>
        </w:rPr>
        <w:t>Grant</w:t>
      </w:r>
      <w:proofErr w:type="spellEnd"/>
      <w:r w:rsidR="00665C91" w:rsidRPr="00665C91">
        <w:rPr>
          <w:rFonts w:eastAsia="Calibri" w:cs="Times New Roman"/>
        </w:rPr>
        <w:t>, 1996), lo que puede convertirse en una importante fuente de coordinación. Además, el conocimiento recibido sirve para educar sobre las operaciones que se dan dentro de la relación y sobre las necesidades y preferencias de los clientes (</w:t>
      </w:r>
      <w:proofErr w:type="spellStart"/>
      <w:r w:rsidR="00665C91" w:rsidRPr="00665C91">
        <w:rPr>
          <w:rFonts w:eastAsia="Calibri" w:cs="Times New Roman"/>
        </w:rPr>
        <w:t>Hult</w:t>
      </w:r>
      <w:proofErr w:type="spellEnd"/>
      <w:r w:rsidR="00665C91" w:rsidRPr="00665C91">
        <w:rPr>
          <w:rFonts w:eastAsia="Calibri" w:cs="Times New Roman"/>
        </w:rPr>
        <w:t xml:space="preserve"> </w:t>
      </w:r>
      <w:r w:rsidR="009B25C5" w:rsidRPr="009B25C5">
        <w:rPr>
          <w:rFonts w:eastAsia="Calibri" w:cs="Times New Roman"/>
          <w:i/>
        </w:rPr>
        <w:t>et al.</w:t>
      </w:r>
      <w:r w:rsidR="00665C91" w:rsidRPr="00665C91">
        <w:rPr>
          <w:rFonts w:eastAsia="Calibri" w:cs="Times New Roman"/>
        </w:rPr>
        <w:t xml:space="preserve">, 2002). Así, entendemos que los mecanismos de gobierno de la relación, que también cumplen una función de coordinación, tienen potencial para afectar directamente </w:t>
      </w:r>
      <w:r w:rsidR="00123066">
        <w:rPr>
          <w:rFonts w:eastAsia="Calibri" w:cs="Times New Roman"/>
        </w:rPr>
        <w:t xml:space="preserve">a la vinculación y compromiso de los socios. </w:t>
      </w:r>
      <w:r>
        <w:rPr>
          <w:rFonts w:eastAsia="Calibri" w:cs="Times New Roman"/>
        </w:rPr>
        <w:t xml:space="preserve">Esto nos lleva a plantear </w:t>
      </w:r>
      <w:r w:rsidR="00123066">
        <w:rPr>
          <w:rFonts w:eastAsia="Calibri" w:cs="Times New Roman"/>
        </w:rPr>
        <w:t>que:</w:t>
      </w:r>
    </w:p>
    <w:p w14:paraId="51889484" w14:textId="77777777" w:rsidR="00123066" w:rsidRPr="00123066" w:rsidRDefault="00123066" w:rsidP="00665C91">
      <w:pPr>
        <w:rPr>
          <w:rFonts w:eastAsia="Calibri" w:cs="Times New Roman"/>
          <w:i/>
        </w:rPr>
      </w:pPr>
      <w:r w:rsidRPr="00123066">
        <w:rPr>
          <w:rFonts w:eastAsia="Calibri" w:cs="Times New Roman"/>
          <w:i/>
        </w:rPr>
        <w:t xml:space="preserve">H5: Los mecanismos de gobierno </w:t>
      </w:r>
      <w:r w:rsidR="00B85EAC">
        <w:rPr>
          <w:rFonts w:eastAsia="Calibri" w:cs="Times New Roman"/>
          <w:i/>
        </w:rPr>
        <w:t xml:space="preserve">adoptados por la cooperativa </w:t>
      </w:r>
      <w:r w:rsidRPr="00123066">
        <w:rPr>
          <w:rFonts w:eastAsia="Calibri" w:cs="Times New Roman"/>
          <w:i/>
        </w:rPr>
        <w:t xml:space="preserve">incrementan el compromiso de </w:t>
      </w:r>
      <w:r w:rsidR="009869A3">
        <w:rPr>
          <w:rFonts w:eastAsia="Calibri" w:cs="Times New Roman"/>
          <w:i/>
        </w:rPr>
        <w:t>sus socios con ella</w:t>
      </w:r>
      <w:r w:rsidRPr="00123066">
        <w:rPr>
          <w:rFonts w:eastAsia="Calibri" w:cs="Times New Roman"/>
          <w:i/>
        </w:rPr>
        <w:t>.</w:t>
      </w:r>
    </w:p>
    <w:p w14:paraId="7FB66CFB" w14:textId="77777777" w:rsidR="00665C91" w:rsidRDefault="00B45D73" w:rsidP="00147284">
      <w:r>
        <w:t>Por otra parte, el objetivo principal de los mecanismos de socialización es promover la convergencia de objetivos entre los socios (</w:t>
      </w:r>
      <w:proofErr w:type="spellStart"/>
      <w:r>
        <w:t>Wathne</w:t>
      </w:r>
      <w:proofErr w:type="spellEnd"/>
      <w:r>
        <w:t xml:space="preserve"> y </w:t>
      </w:r>
      <w:proofErr w:type="spellStart"/>
      <w:r>
        <w:t>Heide</w:t>
      </w:r>
      <w:proofErr w:type="spellEnd"/>
      <w:r>
        <w:t>, 2000) reduciendo así la heterogeneidad en cuanto a los mismos.</w:t>
      </w:r>
      <w:r w:rsidR="008B6373">
        <w:t xml:space="preserve"> Por ejemplo, los mecanismos de </w:t>
      </w:r>
      <w:r w:rsidR="00C522A1">
        <w:t>selección</w:t>
      </w:r>
      <w:r w:rsidR="008B6373">
        <w:t xml:space="preserve"> filtran de antemano los socios con intereses afines a la cooperativa. O la socialización promueve una</w:t>
      </w:r>
      <w:r w:rsidR="00C522A1">
        <w:t xml:space="preserve"> cultura común</w:t>
      </w:r>
      <w:r w:rsidR="008B6373">
        <w:t xml:space="preserve"> </w:t>
      </w:r>
      <w:r w:rsidR="00C522A1">
        <w:t xml:space="preserve">que favorece la </w:t>
      </w:r>
      <w:r w:rsidR="008B6373">
        <w:t xml:space="preserve">convergencia </w:t>
      </w:r>
      <w:r w:rsidR="00C522A1">
        <w:t>de objetivos e intereses</w:t>
      </w:r>
      <w:r w:rsidR="008B6373">
        <w:t>.</w:t>
      </w:r>
      <w:r>
        <w:t xml:space="preserve"> </w:t>
      </w:r>
      <w:r w:rsidR="00DA3695">
        <w:t xml:space="preserve">Por lo tanto, </w:t>
      </w:r>
      <w:r>
        <w:t>plantea</w:t>
      </w:r>
      <w:r w:rsidR="00DA3695">
        <w:t>mos que</w:t>
      </w:r>
      <w:r>
        <w:t>:</w:t>
      </w:r>
    </w:p>
    <w:p w14:paraId="147FE201" w14:textId="77777777" w:rsidR="00B45D73" w:rsidRDefault="00B45D73" w:rsidP="00147284">
      <w:pPr>
        <w:rPr>
          <w:i/>
        </w:rPr>
      </w:pPr>
      <w:r w:rsidRPr="00B45D73">
        <w:rPr>
          <w:i/>
        </w:rPr>
        <w:lastRenderedPageBreak/>
        <w:t>H6: Los mecanismos de gobierno</w:t>
      </w:r>
      <w:r w:rsidR="009869A3">
        <w:rPr>
          <w:i/>
        </w:rPr>
        <w:t xml:space="preserve"> adoptados por la cooperativa</w:t>
      </w:r>
      <w:r w:rsidRPr="00B45D73">
        <w:rPr>
          <w:i/>
        </w:rPr>
        <w:t xml:space="preserve"> reducen la heterogeneidad de </w:t>
      </w:r>
      <w:r w:rsidR="009869A3">
        <w:rPr>
          <w:i/>
        </w:rPr>
        <w:t>sus socios</w:t>
      </w:r>
      <w:r w:rsidRPr="00B45D73">
        <w:rPr>
          <w:i/>
        </w:rPr>
        <w:t>.</w:t>
      </w:r>
    </w:p>
    <w:p w14:paraId="090E0DEB" w14:textId="77777777" w:rsidR="00B45D73" w:rsidRDefault="00B45D73" w:rsidP="00155E4C">
      <w:pPr>
        <w:pStyle w:val="Ttulo2"/>
        <w:spacing w:after="240"/>
      </w:pPr>
      <w:r>
        <w:t>3. Metodología</w:t>
      </w:r>
    </w:p>
    <w:p w14:paraId="7B38A3C5" w14:textId="77777777" w:rsidR="00B45D73" w:rsidRDefault="00B45D73" w:rsidP="00155E4C">
      <w:pPr>
        <w:spacing w:after="240"/>
      </w:pPr>
      <w:r>
        <w:t xml:space="preserve">Como población </w:t>
      </w:r>
      <w:r w:rsidR="00DA3695">
        <w:t xml:space="preserve">objeto de estudio </w:t>
      </w:r>
      <w:r>
        <w:t xml:space="preserve">han sido consideradas las </w:t>
      </w:r>
      <w:r w:rsidR="00DA3695">
        <w:t xml:space="preserve">3.300 </w:t>
      </w:r>
      <w:r>
        <w:t>cooperativas agr</w:t>
      </w:r>
      <w:r w:rsidR="00DA3695">
        <w:t>oalimentarias</w:t>
      </w:r>
      <w:r w:rsidR="009D6BC4">
        <w:t xml:space="preserve"> </w:t>
      </w:r>
      <w:r>
        <w:t xml:space="preserve">españolas </w:t>
      </w:r>
      <w:r w:rsidRPr="00015F1A">
        <w:t>(</w:t>
      </w:r>
      <w:r>
        <w:t>Cooperativas Agro-alimentarias, 2013</w:t>
      </w:r>
      <w:r w:rsidRPr="00015F1A">
        <w:t>).</w:t>
      </w:r>
    </w:p>
    <w:p w14:paraId="46EFADA2" w14:textId="77777777" w:rsidR="00B45D73" w:rsidRDefault="006A3D35" w:rsidP="00C851F0">
      <w:r>
        <w:t xml:space="preserve">La recogida de información se está llevando a cabo mediante encuestas online dirigidas al informante </w:t>
      </w:r>
      <w:r w:rsidR="00C851F0">
        <w:t>clave, en este caso el gerente.</w:t>
      </w:r>
      <w:r w:rsidR="00DC5199">
        <w:t xml:space="preserve"> </w:t>
      </w:r>
      <w:r w:rsidR="00B45D73">
        <w:t>Las escalas de medida están basadas en la literatura y adaptadas a la problemática específica tras entrevistas</w:t>
      </w:r>
      <w:r>
        <w:t xml:space="preserve"> a gerentes de cooperativas y diversos </w:t>
      </w:r>
      <w:proofErr w:type="spellStart"/>
      <w:r>
        <w:t>pretest</w:t>
      </w:r>
      <w:proofErr w:type="spellEnd"/>
      <w:r>
        <w:t>.</w:t>
      </w:r>
    </w:p>
    <w:p w14:paraId="73E4FD6F" w14:textId="77777777" w:rsidR="006A2A56" w:rsidRDefault="006F415B" w:rsidP="00C851F0">
      <w:pPr>
        <w:rPr>
          <w:rFonts w:eastAsiaTheme="majorEastAsia" w:cstheme="majorBidi"/>
          <w:b/>
          <w:bCs/>
          <w:color w:val="4F81BD" w:themeColor="accent1"/>
          <w:sz w:val="26"/>
          <w:szCs w:val="26"/>
        </w:rPr>
      </w:pPr>
      <w:r>
        <w:rPr>
          <w:rFonts w:cs="Times New Roman"/>
        </w:rPr>
        <w:t>Para la contra</w:t>
      </w:r>
      <w:r w:rsidR="00C851F0">
        <w:rPr>
          <w:rFonts w:cs="Times New Roman"/>
        </w:rPr>
        <w:t>stación del modelo de medida será utilizado un</w:t>
      </w:r>
      <w:r>
        <w:rPr>
          <w:rFonts w:cs="Times New Roman"/>
        </w:rPr>
        <w:t xml:space="preserve"> análisis de ecuaciones estructurales basado en la técnica de </w:t>
      </w:r>
      <w:proofErr w:type="spellStart"/>
      <w:r>
        <w:rPr>
          <w:rFonts w:cs="Times New Roman"/>
          <w:i/>
        </w:rPr>
        <w:t>Partial</w:t>
      </w:r>
      <w:proofErr w:type="spellEnd"/>
      <w:r>
        <w:rPr>
          <w:rFonts w:cs="Times New Roman"/>
          <w:i/>
        </w:rPr>
        <w:t xml:space="preserve"> </w:t>
      </w:r>
      <w:proofErr w:type="spellStart"/>
      <w:r>
        <w:rPr>
          <w:rFonts w:cs="Times New Roman"/>
          <w:i/>
        </w:rPr>
        <w:t>Least</w:t>
      </w:r>
      <w:proofErr w:type="spellEnd"/>
      <w:r>
        <w:rPr>
          <w:rFonts w:cs="Times New Roman"/>
          <w:i/>
        </w:rPr>
        <w:t xml:space="preserve"> </w:t>
      </w:r>
      <w:proofErr w:type="spellStart"/>
      <w:r>
        <w:rPr>
          <w:rFonts w:cs="Times New Roman"/>
          <w:i/>
        </w:rPr>
        <w:t>Square</w:t>
      </w:r>
      <w:proofErr w:type="spellEnd"/>
      <w:r>
        <w:rPr>
          <w:rFonts w:cs="Times New Roman"/>
          <w:i/>
        </w:rPr>
        <w:t xml:space="preserve"> </w:t>
      </w:r>
      <w:r>
        <w:rPr>
          <w:rFonts w:cs="Times New Roman"/>
        </w:rPr>
        <w:t>(PLS). Esta técnica es especialmente útil para tratar las medidas de carácter formativo (</w:t>
      </w:r>
      <w:proofErr w:type="spellStart"/>
      <w:r>
        <w:rPr>
          <w:rFonts w:cs="Times New Roman"/>
        </w:rPr>
        <w:t>Henseler</w:t>
      </w:r>
      <w:proofErr w:type="spellEnd"/>
      <w:r>
        <w:rPr>
          <w:rFonts w:cs="Times New Roman"/>
        </w:rPr>
        <w:t xml:space="preserve"> </w:t>
      </w:r>
      <w:r w:rsidR="009B25C5" w:rsidRPr="009B25C5">
        <w:rPr>
          <w:rFonts w:cs="Times New Roman"/>
          <w:i/>
        </w:rPr>
        <w:t>et al.</w:t>
      </w:r>
      <w:r>
        <w:rPr>
          <w:rFonts w:cs="Times New Roman"/>
        </w:rPr>
        <w:t xml:space="preserve">, 2009). </w:t>
      </w:r>
    </w:p>
    <w:p w14:paraId="32DB8682" w14:textId="77777777" w:rsidR="006A3D35" w:rsidRDefault="006A3D35" w:rsidP="00155E4C">
      <w:pPr>
        <w:pStyle w:val="Ttulo2"/>
        <w:spacing w:after="240"/>
      </w:pPr>
      <w:r>
        <w:t>Bibliografía</w:t>
      </w:r>
    </w:p>
    <w:p w14:paraId="2AC3F462" w14:textId="77777777" w:rsidR="009D6BC4" w:rsidRDefault="00C851F0" w:rsidP="00155E4C">
      <w:pPr>
        <w:spacing w:after="240"/>
        <w:ind w:left="284" w:hanging="284"/>
        <w:rPr>
          <w:rFonts w:cs="Arial"/>
          <w:sz w:val="20"/>
          <w:szCs w:val="24"/>
        </w:rPr>
      </w:pPr>
      <w:r w:rsidRPr="00C7079B">
        <w:rPr>
          <w:rFonts w:cs="Arial"/>
          <w:sz w:val="20"/>
          <w:szCs w:val="24"/>
        </w:rPr>
        <w:t xml:space="preserve">Arcas, N. y Hernández, M. (2008). “Los procesos de compraventa de productos hortofrutícolas en los mercados en origen: el caso de la Región de Murcia”, </w:t>
      </w:r>
      <w:r w:rsidRPr="00C7079B">
        <w:rPr>
          <w:rFonts w:cs="Arial"/>
          <w:i/>
          <w:sz w:val="20"/>
          <w:szCs w:val="24"/>
        </w:rPr>
        <w:t>Distribución y Consumo</w:t>
      </w:r>
      <w:r w:rsidRPr="00C7079B">
        <w:rPr>
          <w:rFonts w:cs="Arial"/>
          <w:sz w:val="20"/>
          <w:szCs w:val="24"/>
        </w:rPr>
        <w:t>, nº 18, pp. 38-54.</w:t>
      </w:r>
    </w:p>
    <w:p w14:paraId="3A830E32" w14:textId="77777777" w:rsidR="009D6BC4" w:rsidRDefault="009B25C5" w:rsidP="009D6BC4">
      <w:pPr>
        <w:spacing w:after="0"/>
        <w:ind w:left="284" w:hanging="284"/>
        <w:rPr>
          <w:rFonts w:cs="Arial"/>
          <w:sz w:val="20"/>
          <w:szCs w:val="24"/>
          <w:lang w:val="en-US"/>
        </w:rPr>
      </w:pPr>
      <w:r w:rsidRPr="00C7079B">
        <w:rPr>
          <w:rFonts w:cs="Arial"/>
          <w:sz w:val="20"/>
          <w:szCs w:val="24"/>
        </w:rPr>
        <w:t>Baamonde, E. (2009</w:t>
      </w:r>
      <w:r w:rsidR="00C851F0" w:rsidRPr="00C7079B">
        <w:rPr>
          <w:rFonts w:cs="Arial"/>
          <w:sz w:val="20"/>
          <w:szCs w:val="24"/>
        </w:rPr>
        <w:t xml:space="preserve">). "El cooperativismo agroalimentario", en Lamo de Espinosa, J. (Coord.), </w:t>
      </w:r>
      <w:r w:rsidR="00C851F0" w:rsidRPr="00C7079B">
        <w:rPr>
          <w:rFonts w:cs="Arial"/>
          <w:i/>
          <w:sz w:val="20"/>
          <w:szCs w:val="24"/>
        </w:rPr>
        <w:t xml:space="preserve">Mediterráneo Económico. El nuevo sistema agroalimentario en una crisis global, </w:t>
      </w:r>
      <w:r w:rsidR="00C851F0" w:rsidRPr="00C7079B">
        <w:rPr>
          <w:rFonts w:cs="Arial"/>
          <w:sz w:val="20"/>
          <w:szCs w:val="24"/>
        </w:rPr>
        <w:t xml:space="preserve">nº 15 (pp. 229-246). </w:t>
      </w:r>
      <w:proofErr w:type="spellStart"/>
      <w:r w:rsidR="00C851F0" w:rsidRPr="00C7079B">
        <w:rPr>
          <w:rFonts w:cs="Arial"/>
          <w:sz w:val="20"/>
          <w:szCs w:val="24"/>
          <w:lang w:val="en-US"/>
        </w:rPr>
        <w:t>Almería</w:t>
      </w:r>
      <w:proofErr w:type="spellEnd"/>
      <w:r w:rsidR="00C851F0" w:rsidRPr="00C7079B">
        <w:rPr>
          <w:rFonts w:cs="Arial"/>
          <w:sz w:val="20"/>
          <w:szCs w:val="24"/>
          <w:lang w:val="en-US"/>
        </w:rPr>
        <w:t xml:space="preserve">: </w:t>
      </w:r>
      <w:proofErr w:type="spellStart"/>
      <w:r w:rsidR="00C851F0" w:rsidRPr="00C7079B">
        <w:rPr>
          <w:rFonts w:cs="Arial"/>
          <w:sz w:val="20"/>
          <w:szCs w:val="24"/>
          <w:lang w:val="en-US"/>
        </w:rPr>
        <w:t>Fundación</w:t>
      </w:r>
      <w:proofErr w:type="spellEnd"/>
      <w:r w:rsidR="00C851F0" w:rsidRPr="00C7079B">
        <w:rPr>
          <w:rFonts w:cs="Arial"/>
          <w:sz w:val="20"/>
          <w:szCs w:val="24"/>
          <w:lang w:val="en-US"/>
        </w:rPr>
        <w:t xml:space="preserve"> </w:t>
      </w:r>
      <w:proofErr w:type="spellStart"/>
      <w:r w:rsidR="00C851F0" w:rsidRPr="00C7079B">
        <w:rPr>
          <w:rFonts w:cs="Arial"/>
          <w:sz w:val="20"/>
          <w:szCs w:val="24"/>
          <w:lang w:val="en-US"/>
        </w:rPr>
        <w:t>Cajamar</w:t>
      </w:r>
      <w:proofErr w:type="spellEnd"/>
      <w:r w:rsidR="00C851F0" w:rsidRPr="00C7079B">
        <w:rPr>
          <w:rFonts w:cs="Arial"/>
          <w:sz w:val="20"/>
          <w:szCs w:val="24"/>
          <w:lang w:val="en-US"/>
        </w:rPr>
        <w:t>.</w:t>
      </w:r>
    </w:p>
    <w:p w14:paraId="50C46FA7" w14:textId="77777777" w:rsidR="009D6BC4" w:rsidRDefault="00C851F0" w:rsidP="009D6BC4">
      <w:pPr>
        <w:spacing w:after="0"/>
        <w:ind w:left="284" w:hanging="284"/>
        <w:rPr>
          <w:rFonts w:cs="Arial"/>
          <w:sz w:val="20"/>
          <w:szCs w:val="24"/>
          <w:lang w:val="en-GB"/>
        </w:rPr>
      </w:pPr>
      <w:r w:rsidRPr="00C7079B">
        <w:rPr>
          <w:rFonts w:cs="Arial"/>
          <w:sz w:val="20"/>
          <w:szCs w:val="24"/>
          <w:lang w:val="en-US"/>
        </w:rPr>
        <w:t>Barton, D. (1989).”What is a co-operative?</w:t>
      </w:r>
      <w:proofErr w:type="gramStart"/>
      <w:r w:rsidRPr="00C7079B">
        <w:rPr>
          <w:rFonts w:cs="Arial"/>
          <w:sz w:val="20"/>
          <w:szCs w:val="24"/>
          <w:lang w:val="en-US"/>
        </w:rPr>
        <w:t>”,</w:t>
      </w:r>
      <w:proofErr w:type="gramEnd"/>
      <w:r w:rsidRPr="00C7079B">
        <w:rPr>
          <w:rFonts w:cs="Arial"/>
          <w:sz w:val="20"/>
          <w:szCs w:val="24"/>
          <w:lang w:val="en-US"/>
        </w:rPr>
        <w:t xml:space="preserve"> en Cobia, D. (Ed.), </w:t>
      </w:r>
      <w:r w:rsidRPr="00C7079B">
        <w:rPr>
          <w:rFonts w:cs="Arial"/>
          <w:i/>
          <w:sz w:val="20"/>
          <w:szCs w:val="24"/>
          <w:lang w:val="en-GB"/>
        </w:rPr>
        <w:t xml:space="preserve">Co-operatives in Agriculture </w:t>
      </w:r>
      <w:r w:rsidRPr="00C7079B">
        <w:rPr>
          <w:rFonts w:cs="Arial"/>
          <w:sz w:val="20"/>
          <w:szCs w:val="24"/>
          <w:lang w:val="en-GB"/>
        </w:rPr>
        <w:t>(pp. 21-34). New Jersey: Prentice-Hall.</w:t>
      </w:r>
    </w:p>
    <w:p w14:paraId="1AFC2B31" w14:textId="77777777" w:rsidR="008B604B" w:rsidRDefault="00C851F0" w:rsidP="009D6BC4">
      <w:pPr>
        <w:spacing w:after="0"/>
        <w:ind w:left="284" w:hanging="284"/>
        <w:rPr>
          <w:rFonts w:cs="Arial"/>
          <w:sz w:val="20"/>
          <w:szCs w:val="24"/>
          <w:lang w:val="en-GB"/>
        </w:rPr>
      </w:pPr>
      <w:proofErr w:type="spellStart"/>
      <w:r w:rsidRPr="00555851">
        <w:rPr>
          <w:rFonts w:cs="Arial"/>
          <w:sz w:val="20"/>
          <w:szCs w:val="24"/>
        </w:rPr>
        <w:t>Bijman</w:t>
      </w:r>
      <w:proofErr w:type="spellEnd"/>
      <w:r w:rsidRPr="00555851">
        <w:rPr>
          <w:rFonts w:cs="Arial"/>
          <w:sz w:val="20"/>
          <w:szCs w:val="24"/>
        </w:rPr>
        <w:t xml:space="preserve">, J. y </w:t>
      </w:r>
      <w:proofErr w:type="spellStart"/>
      <w:r w:rsidRPr="00555851">
        <w:rPr>
          <w:rFonts w:cs="Arial"/>
          <w:sz w:val="20"/>
          <w:szCs w:val="24"/>
        </w:rPr>
        <w:t>Hendrikse</w:t>
      </w:r>
      <w:proofErr w:type="spellEnd"/>
      <w:r w:rsidRPr="00555851">
        <w:rPr>
          <w:rFonts w:cs="Arial"/>
          <w:sz w:val="20"/>
          <w:szCs w:val="24"/>
        </w:rPr>
        <w:t xml:space="preserve">, G. (2002). </w:t>
      </w:r>
      <w:r w:rsidRPr="00C7079B">
        <w:rPr>
          <w:rFonts w:cs="Arial"/>
          <w:sz w:val="20"/>
          <w:szCs w:val="24"/>
          <w:lang w:val="en-GB"/>
        </w:rPr>
        <w:t xml:space="preserve">“Ownership structure in </w:t>
      </w:r>
      <w:proofErr w:type="spellStart"/>
      <w:r w:rsidRPr="00C7079B">
        <w:rPr>
          <w:rFonts w:cs="Arial"/>
          <w:sz w:val="20"/>
          <w:szCs w:val="24"/>
          <w:lang w:val="en-GB"/>
        </w:rPr>
        <w:t>agrifood</w:t>
      </w:r>
      <w:proofErr w:type="spellEnd"/>
      <w:r w:rsidRPr="00C7079B">
        <w:rPr>
          <w:rFonts w:cs="Arial"/>
          <w:sz w:val="20"/>
          <w:szCs w:val="24"/>
          <w:lang w:val="en-GB"/>
        </w:rPr>
        <w:t xml:space="preserve"> chains: the marketing cooperative”, </w:t>
      </w:r>
      <w:r w:rsidRPr="00C7079B">
        <w:rPr>
          <w:rFonts w:cs="Arial"/>
          <w:i/>
          <w:sz w:val="20"/>
          <w:szCs w:val="24"/>
          <w:lang w:val="en-GB"/>
        </w:rPr>
        <w:t>American Journal of Agricultural Economics,</w:t>
      </w:r>
      <w:r w:rsidRPr="00C7079B">
        <w:rPr>
          <w:rFonts w:cs="Arial"/>
          <w:sz w:val="20"/>
          <w:szCs w:val="24"/>
          <w:lang w:val="en-GB"/>
        </w:rPr>
        <w:t xml:space="preserve"> Vol. 84, nº 1, pp. 104-119.</w:t>
      </w:r>
    </w:p>
    <w:p w14:paraId="5711C241" w14:textId="77777777" w:rsidR="008B604B" w:rsidRDefault="00C851F0" w:rsidP="009D6BC4">
      <w:pPr>
        <w:spacing w:after="0"/>
        <w:ind w:left="284" w:hanging="284"/>
        <w:rPr>
          <w:rFonts w:cs="Arial"/>
          <w:sz w:val="20"/>
          <w:szCs w:val="24"/>
          <w:lang w:val="en-GB"/>
        </w:rPr>
      </w:pPr>
      <w:proofErr w:type="spellStart"/>
      <w:r w:rsidRPr="00C7079B">
        <w:rPr>
          <w:rFonts w:cs="Arial"/>
          <w:sz w:val="20"/>
          <w:szCs w:val="24"/>
        </w:rPr>
        <w:t>Bijman</w:t>
      </w:r>
      <w:proofErr w:type="spellEnd"/>
      <w:r w:rsidRPr="00C7079B">
        <w:rPr>
          <w:rFonts w:cs="Arial"/>
          <w:sz w:val="20"/>
          <w:szCs w:val="24"/>
        </w:rPr>
        <w:t xml:space="preserve">, J. y </w:t>
      </w:r>
      <w:proofErr w:type="spellStart"/>
      <w:r w:rsidRPr="00C7079B">
        <w:rPr>
          <w:rFonts w:cs="Arial"/>
          <w:sz w:val="20"/>
          <w:szCs w:val="24"/>
        </w:rPr>
        <w:t>Hendrikse</w:t>
      </w:r>
      <w:proofErr w:type="spellEnd"/>
      <w:r w:rsidRPr="00C7079B">
        <w:rPr>
          <w:rFonts w:cs="Arial"/>
          <w:sz w:val="20"/>
          <w:szCs w:val="24"/>
        </w:rPr>
        <w:t xml:space="preserve">, G. (2003). </w:t>
      </w:r>
      <w:r w:rsidRPr="00C7079B">
        <w:rPr>
          <w:rFonts w:cs="Arial"/>
          <w:sz w:val="20"/>
          <w:szCs w:val="24"/>
          <w:lang w:val="en-GB"/>
        </w:rPr>
        <w:t xml:space="preserve">“Co-operatives in chains: institutional restructuring in the Dutch fruit and vegetables industry”, </w:t>
      </w:r>
      <w:r w:rsidRPr="00C7079B">
        <w:rPr>
          <w:rFonts w:cs="Arial"/>
          <w:i/>
          <w:sz w:val="20"/>
          <w:szCs w:val="24"/>
          <w:lang w:val="en-GB"/>
        </w:rPr>
        <w:t>ERIM Report Series Research in Management</w:t>
      </w:r>
      <w:r w:rsidRPr="00C7079B">
        <w:rPr>
          <w:rFonts w:cs="Arial"/>
          <w:sz w:val="20"/>
          <w:szCs w:val="24"/>
          <w:lang w:val="en-GB"/>
        </w:rPr>
        <w:t>, ERS-2003-089-ORG.</w:t>
      </w:r>
    </w:p>
    <w:p w14:paraId="5F560E14" w14:textId="77777777" w:rsidR="008B604B" w:rsidRDefault="00C851F0" w:rsidP="009D6BC4">
      <w:pPr>
        <w:spacing w:after="0"/>
        <w:ind w:left="284" w:hanging="284"/>
        <w:rPr>
          <w:rFonts w:cs="Arial"/>
          <w:sz w:val="20"/>
          <w:szCs w:val="24"/>
          <w:lang w:val="en-GB"/>
        </w:rPr>
      </w:pPr>
      <w:proofErr w:type="spellStart"/>
      <w:r w:rsidRPr="00C7079B">
        <w:rPr>
          <w:rFonts w:cs="Arial"/>
          <w:sz w:val="20"/>
          <w:szCs w:val="24"/>
        </w:rPr>
        <w:t>Bijman</w:t>
      </w:r>
      <w:proofErr w:type="spellEnd"/>
      <w:r w:rsidRPr="00C7079B">
        <w:rPr>
          <w:rFonts w:cs="Arial"/>
          <w:sz w:val="20"/>
          <w:szCs w:val="24"/>
        </w:rPr>
        <w:t xml:space="preserve">, J. y </w:t>
      </w:r>
      <w:proofErr w:type="spellStart"/>
      <w:r w:rsidRPr="00C7079B">
        <w:rPr>
          <w:rFonts w:cs="Arial"/>
          <w:sz w:val="20"/>
          <w:szCs w:val="24"/>
        </w:rPr>
        <w:t>Ruben</w:t>
      </w:r>
      <w:proofErr w:type="spellEnd"/>
      <w:r w:rsidRPr="00C7079B">
        <w:rPr>
          <w:rFonts w:cs="Arial"/>
          <w:sz w:val="20"/>
          <w:szCs w:val="24"/>
        </w:rPr>
        <w:t xml:space="preserve"> R. (2005). </w:t>
      </w:r>
      <w:r w:rsidRPr="00C7079B">
        <w:rPr>
          <w:rFonts w:cs="Arial"/>
          <w:sz w:val="20"/>
          <w:szCs w:val="24"/>
          <w:lang w:val="en-GB"/>
        </w:rPr>
        <w:t>“Repositioning agricultural cooperatives in the North and the South: Where do the Twain meet?</w:t>
      </w:r>
      <w:proofErr w:type="gramStart"/>
      <w:r w:rsidRPr="00C7079B">
        <w:rPr>
          <w:rFonts w:cs="Arial"/>
          <w:i/>
          <w:sz w:val="20"/>
          <w:szCs w:val="24"/>
          <w:lang w:val="en-GB"/>
        </w:rPr>
        <w:t>”</w:t>
      </w:r>
      <w:r w:rsidRPr="00C7079B">
        <w:rPr>
          <w:rFonts w:cs="Arial"/>
          <w:sz w:val="20"/>
          <w:szCs w:val="24"/>
          <w:lang w:val="en-GB"/>
        </w:rPr>
        <w:t>,</w:t>
      </w:r>
      <w:proofErr w:type="gramEnd"/>
      <w:r w:rsidRPr="00C7079B">
        <w:rPr>
          <w:rFonts w:cs="Arial"/>
          <w:sz w:val="20"/>
          <w:szCs w:val="24"/>
          <w:lang w:val="en-GB"/>
        </w:rPr>
        <w:t xml:space="preserve"> en </w:t>
      </w:r>
      <w:r w:rsidRPr="00C7079B">
        <w:rPr>
          <w:rFonts w:cs="Arial"/>
          <w:i/>
          <w:sz w:val="20"/>
          <w:szCs w:val="24"/>
          <w:lang w:val="en-GB"/>
        </w:rPr>
        <w:t xml:space="preserve">2nd </w:t>
      </w:r>
      <w:proofErr w:type="spellStart"/>
      <w:r w:rsidRPr="00C7079B">
        <w:rPr>
          <w:rFonts w:cs="Arial"/>
          <w:i/>
          <w:sz w:val="20"/>
          <w:szCs w:val="24"/>
          <w:lang w:val="en-GB"/>
        </w:rPr>
        <w:t>Agri-ProFocus</w:t>
      </w:r>
      <w:proofErr w:type="spellEnd"/>
      <w:r w:rsidRPr="00C7079B">
        <w:rPr>
          <w:rFonts w:cs="Arial"/>
          <w:i/>
          <w:sz w:val="20"/>
          <w:szCs w:val="24"/>
          <w:lang w:val="en-GB"/>
        </w:rPr>
        <w:t xml:space="preserve"> Expert Meeting</w:t>
      </w:r>
      <w:r w:rsidRPr="00C7079B">
        <w:rPr>
          <w:rFonts w:cs="Arial"/>
          <w:sz w:val="20"/>
          <w:szCs w:val="24"/>
          <w:lang w:val="en-GB"/>
        </w:rPr>
        <w:t xml:space="preserve">, Deventer, </w:t>
      </w:r>
      <w:proofErr w:type="spellStart"/>
      <w:r w:rsidRPr="00C7079B">
        <w:rPr>
          <w:rFonts w:cs="Arial"/>
          <w:sz w:val="20"/>
          <w:szCs w:val="24"/>
          <w:lang w:val="en-GB"/>
        </w:rPr>
        <w:t>Países</w:t>
      </w:r>
      <w:proofErr w:type="spellEnd"/>
      <w:r w:rsidRPr="00C7079B">
        <w:rPr>
          <w:rFonts w:cs="Arial"/>
          <w:sz w:val="20"/>
          <w:szCs w:val="24"/>
          <w:lang w:val="en-GB"/>
        </w:rPr>
        <w:t xml:space="preserve"> </w:t>
      </w:r>
      <w:proofErr w:type="spellStart"/>
      <w:r w:rsidRPr="00C7079B">
        <w:rPr>
          <w:rFonts w:cs="Arial"/>
          <w:sz w:val="20"/>
          <w:szCs w:val="24"/>
          <w:lang w:val="en-GB"/>
        </w:rPr>
        <w:t>Bajos</w:t>
      </w:r>
      <w:proofErr w:type="spellEnd"/>
      <w:r w:rsidRPr="00C7079B">
        <w:rPr>
          <w:rFonts w:cs="Arial"/>
          <w:sz w:val="20"/>
          <w:szCs w:val="24"/>
          <w:lang w:val="en-GB"/>
        </w:rPr>
        <w:t>.</w:t>
      </w:r>
    </w:p>
    <w:p w14:paraId="036706A3" w14:textId="77777777" w:rsidR="008B604B" w:rsidRDefault="00C851F0" w:rsidP="009D6BC4">
      <w:pPr>
        <w:spacing w:after="0"/>
        <w:ind w:left="284" w:hanging="284"/>
        <w:rPr>
          <w:rFonts w:cs="Arial"/>
          <w:sz w:val="20"/>
          <w:szCs w:val="24"/>
          <w:lang w:val="en-GB"/>
        </w:rPr>
      </w:pPr>
      <w:r w:rsidRPr="00C7079B">
        <w:rPr>
          <w:rFonts w:cs="Arial"/>
          <w:sz w:val="20"/>
          <w:szCs w:val="24"/>
        </w:rPr>
        <w:t xml:space="preserve">Carson, S. J., </w:t>
      </w:r>
      <w:proofErr w:type="spellStart"/>
      <w:r w:rsidRPr="00C7079B">
        <w:rPr>
          <w:rFonts w:cs="Arial"/>
          <w:sz w:val="20"/>
          <w:szCs w:val="24"/>
        </w:rPr>
        <w:t>Madhok</w:t>
      </w:r>
      <w:proofErr w:type="spellEnd"/>
      <w:r w:rsidRPr="00C7079B">
        <w:rPr>
          <w:rFonts w:cs="Arial"/>
          <w:sz w:val="20"/>
          <w:szCs w:val="24"/>
        </w:rPr>
        <w:t xml:space="preserve">, A. y </w:t>
      </w:r>
      <w:proofErr w:type="spellStart"/>
      <w:r w:rsidRPr="00C7079B">
        <w:rPr>
          <w:rFonts w:cs="Arial"/>
          <w:sz w:val="20"/>
          <w:szCs w:val="24"/>
        </w:rPr>
        <w:t>Wu</w:t>
      </w:r>
      <w:proofErr w:type="spellEnd"/>
      <w:r w:rsidRPr="00C7079B">
        <w:rPr>
          <w:rFonts w:cs="Arial"/>
          <w:sz w:val="20"/>
          <w:szCs w:val="24"/>
        </w:rPr>
        <w:t xml:space="preserve">, T. (2004). </w:t>
      </w:r>
      <w:r w:rsidRPr="00C7079B">
        <w:rPr>
          <w:rFonts w:cs="Arial"/>
          <w:sz w:val="20"/>
          <w:szCs w:val="24"/>
          <w:lang w:val="en-GB"/>
        </w:rPr>
        <w:t xml:space="preserve">“The drivers of opportunism under contractual and relational governance: disentangling the effects of volatility and ambiguity in </w:t>
      </w:r>
      <w:proofErr w:type="spellStart"/>
      <w:r w:rsidRPr="00C7079B">
        <w:rPr>
          <w:rFonts w:cs="Arial"/>
          <w:sz w:val="20"/>
          <w:szCs w:val="24"/>
          <w:lang w:val="en-GB"/>
        </w:rPr>
        <w:t>interorganizational</w:t>
      </w:r>
      <w:proofErr w:type="spellEnd"/>
      <w:r w:rsidRPr="00C7079B">
        <w:rPr>
          <w:rFonts w:cs="Arial"/>
          <w:sz w:val="20"/>
          <w:szCs w:val="24"/>
          <w:lang w:val="en-GB"/>
        </w:rPr>
        <w:t xml:space="preserve"> relationships”, en </w:t>
      </w:r>
      <w:r w:rsidRPr="00C7079B">
        <w:rPr>
          <w:rFonts w:cs="Arial"/>
          <w:i/>
          <w:sz w:val="20"/>
          <w:szCs w:val="24"/>
          <w:lang w:val="en-GB"/>
        </w:rPr>
        <w:t>Conference on Trust</w:t>
      </w:r>
      <w:r w:rsidRPr="00C7079B">
        <w:rPr>
          <w:rFonts w:cs="Arial"/>
          <w:sz w:val="20"/>
          <w:szCs w:val="24"/>
          <w:lang w:val="en-GB"/>
        </w:rPr>
        <w:t>, Amsterdam 2004.</w:t>
      </w:r>
    </w:p>
    <w:p w14:paraId="227647E0" w14:textId="77777777" w:rsidR="008B604B" w:rsidRDefault="00C851F0" w:rsidP="009D6BC4">
      <w:pPr>
        <w:spacing w:after="0"/>
        <w:ind w:left="284" w:hanging="284"/>
        <w:rPr>
          <w:rFonts w:cs="Arial"/>
          <w:sz w:val="20"/>
          <w:szCs w:val="24"/>
        </w:rPr>
      </w:pPr>
      <w:r w:rsidRPr="00C7079B">
        <w:rPr>
          <w:rFonts w:cs="Arial"/>
          <w:sz w:val="20"/>
          <w:szCs w:val="24"/>
        </w:rPr>
        <w:t xml:space="preserve">Cooperativas Agro-alimentarias (2013). </w:t>
      </w:r>
      <w:proofErr w:type="spellStart"/>
      <w:r w:rsidRPr="00C7079B">
        <w:rPr>
          <w:rFonts w:cs="Arial"/>
          <w:i/>
          <w:sz w:val="20"/>
          <w:szCs w:val="24"/>
        </w:rPr>
        <w:t>Macromagnitudes</w:t>
      </w:r>
      <w:proofErr w:type="spellEnd"/>
      <w:r w:rsidRPr="00C7079B">
        <w:rPr>
          <w:rFonts w:cs="Arial"/>
          <w:i/>
          <w:sz w:val="20"/>
          <w:szCs w:val="24"/>
        </w:rPr>
        <w:t xml:space="preserve"> del cooperativismo agroalimentario español. </w:t>
      </w:r>
      <w:r w:rsidRPr="00C7079B">
        <w:rPr>
          <w:rFonts w:cs="Arial"/>
          <w:sz w:val="20"/>
          <w:szCs w:val="24"/>
        </w:rPr>
        <w:t xml:space="preserve">Recuperado de: </w:t>
      </w:r>
      <w:hyperlink r:id="rId9" w:history="1">
        <w:r w:rsidRPr="00C7079B">
          <w:rPr>
            <w:rStyle w:val="Hipervnculo"/>
            <w:rFonts w:cs="Arial"/>
            <w:sz w:val="20"/>
            <w:szCs w:val="24"/>
          </w:rPr>
          <w:t>http://www.agro-alimentarias.coop/ficheros/doc/04006.pdf</w:t>
        </w:r>
      </w:hyperlink>
      <w:r w:rsidRPr="00C7079B">
        <w:rPr>
          <w:rFonts w:cs="Arial"/>
          <w:sz w:val="20"/>
          <w:szCs w:val="24"/>
        </w:rPr>
        <w:t xml:space="preserve"> (03/08/2013).</w:t>
      </w:r>
    </w:p>
    <w:p w14:paraId="2EB019BE" w14:textId="77777777" w:rsidR="008B604B" w:rsidRDefault="00C851F0" w:rsidP="009D6BC4">
      <w:pPr>
        <w:spacing w:after="0"/>
        <w:ind w:left="284" w:hanging="284"/>
        <w:rPr>
          <w:rFonts w:cs="Arial"/>
          <w:sz w:val="20"/>
          <w:szCs w:val="24"/>
          <w:lang w:val="en-GB"/>
        </w:rPr>
      </w:pPr>
      <w:proofErr w:type="spellStart"/>
      <w:r w:rsidRPr="00C7079B">
        <w:rPr>
          <w:rFonts w:cs="Arial"/>
          <w:sz w:val="20"/>
          <w:szCs w:val="24"/>
        </w:rPr>
        <w:t>Dyer</w:t>
      </w:r>
      <w:proofErr w:type="spellEnd"/>
      <w:r w:rsidRPr="00C7079B">
        <w:rPr>
          <w:rFonts w:cs="Arial"/>
          <w:sz w:val="20"/>
          <w:szCs w:val="24"/>
        </w:rPr>
        <w:t xml:space="preserve">, J. y Singh, H. (1998). </w:t>
      </w:r>
      <w:r w:rsidRPr="00C7079B">
        <w:rPr>
          <w:rFonts w:cs="Arial"/>
          <w:sz w:val="20"/>
          <w:szCs w:val="24"/>
          <w:lang w:val="en-GB"/>
        </w:rPr>
        <w:t xml:space="preserve">“The relational view: cooperative strategy and sources of </w:t>
      </w:r>
      <w:proofErr w:type="spellStart"/>
      <w:r w:rsidRPr="00C7079B">
        <w:rPr>
          <w:rFonts w:cs="Arial"/>
          <w:sz w:val="20"/>
          <w:szCs w:val="24"/>
          <w:lang w:val="en-GB"/>
        </w:rPr>
        <w:t>interorganizational</w:t>
      </w:r>
      <w:proofErr w:type="spellEnd"/>
      <w:r w:rsidRPr="00C7079B">
        <w:rPr>
          <w:rFonts w:cs="Arial"/>
          <w:sz w:val="20"/>
          <w:szCs w:val="24"/>
          <w:lang w:val="en-GB"/>
        </w:rPr>
        <w:t xml:space="preserve"> competitive advantage”, </w:t>
      </w:r>
      <w:r w:rsidRPr="00C7079B">
        <w:rPr>
          <w:rFonts w:cs="Arial"/>
          <w:i/>
          <w:sz w:val="20"/>
          <w:szCs w:val="24"/>
          <w:lang w:val="en-GB"/>
        </w:rPr>
        <w:t>Academy of Management Review</w:t>
      </w:r>
      <w:r w:rsidRPr="00C7079B">
        <w:rPr>
          <w:rFonts w:cs="Arial"/>
          <w:sz w:val="20"/>
          <w:szCs w:val="24"/>
          <w:lang w:val="en-GB"/>
        </w:rPr>
        <w:t>, Vol. 24, nº 4, pp. 660-679.</w:t>
      </w:r>
    </w:p>
    <w:p w14:paraId="34D85ECC" w14:textId="77777777" w:rsidR="008B604B" w:rsidRDefault="00C851F0" w:rsidP="009D6BC4">
      <w:pPr>
        <w:spacing w:after="0"/>
        <w:ind w:left="284" w:hanging="284"/>
        <w:rPr>
          <w:rFonts w:cs="Arial"/>
          <w:sz w:val="20"/>
          <w:szCs w:val="24"/>
        </w:rPr>
      </w:pPr>
      <w:proofErr w:type="spellStart"/>
      <w:r w:rsidRPr="00C7079B">
        <w:rPr>
          <w:rFonts w:cs="Arial"/>
          <w:sz w:val="20"/>
          <w:szCs w:val="24"/>
        </w:rPr>
        <w:t>Fayos</w:t>
      </w:r>
      <w:proofErr w:type="spellEnd"/>
      <w:r w:rsidRPr="00C7079B">
        <w:rPr>
          <w:rFonts w:cs="Arial"/>
          <w:sz w:val="20"/>
          <w:szCs w:val="24"/>
        </w:rPr>
        <w:t xml:space="preserve">, T, Calderón, H. y Mir, J. (2011). “El éxito en la internacionalización de las cooperativas agroalimentarias españolas. Propuesta de un modelo de estudio desde la perspectiva del marketing internacional”, </w:t>
      </w:r>
      <w:r w:rsidRPr="00C7079B">
        <w:rPr>
          <w:rFonts w:cs="Arial"/>
          <w:i/>
          <w:sz w:val="20"/>
          <w:szCs w:val="24"/>
        </w:rPr>
        <w:t>CIRIEC-España, Revista de Economía Pública, Social y Cooperativa</w:t>
      </w:r>
      <w:r w:rsidRPr="00C7079B">
        <w:rPr>
          <w:rFonts w:cs="Arial"/>
          <w:sz w:val="20"/>
          <w:szCs w:val="24"/>
        </w:rPr>
        <w:t>, nº 72, pp. 43-72.</w:t>
      </w:r>
    </w:p>
    <w:p w14:paraId="6BB98A9A" w14:textId="77777777" w:rsidR="008B604B" w:rsidRDefault="00C851F0" w:rsidP="009D6BC4">
      <w:pPr>
        <w:spacing w:after="0"/>
        <w:ind w:left="284" w:hanging="284"/>
        <w:rPr>
          <w:rFonts w:cs="Arial"/>
          <w:sz w:val="20"/>
          <w:szCs w:val="24"/>
          <w:lang w:val="en-US"/>
        </w:rPr>
      </w:pPr>
      <w:r w:rsidRPr="00C7079B">
        <w:rPr>
          <w:rFonts w:cs="Arial"/>
          <w:sz w:val="20"/>
          <w:szCs w:val="24"/>
        </w:rPr>
        <w:t xml:space="preserve">Feng, L. y </w:t>
      </w:r>
      <w:proofErr w:type="spellStart"/>
      <w:r w:rsidRPr="00C7079B">
        <w:rPr>
          <w:rFonts w:cs="Arial"/>
          <w:sz w:val="20"/>
          <w:szCs w:val="24"/>
        </w:rPr>
        <w:t>Hendrikse</w:t>
      </w:r>
      <w:proofErr w:type="spellEnd"/>
      <w:r w:rsidRPr="00C7079B">
        <w:rPr>
          <w:rFonts w:cs="Arial"/>
          <w:sz w:val="20"/>
          <w:szCs w:val="24"/>
        </w:rPr>
        <w:t xml:space="preserve">, W.J. (2012). </w:t>
      </w:r>
      <w:r w:rsidRPr="00C7079B">
        <w:rPr>
          <w:rFonts w:cs="Arial"/>
          <w:sz w:val="20"/>
          <w:szCs w:val="24"/>
          <w:lang w:val="en-US"/>
        </w:rPr>
        <w:t xml:space="preserve">“Chain interdependencies, measurement problems and efficient governance structure: cooperatives versus publicly listed firms”, </w:t>
      </w:r>
      <w:r w:rsidRPr="00C7079B">
        <w:rPr>
          <w:rFonts w:cs="Arial"/>
          <w:i/>
          <w:sz w:val="20"/>
          <w:szCs w:val="24"/>
          <w:lang w:val="en-US"/>
        </w:rPr>
        <w:t>European Review of Agricultural Economics</w:t>
      </w:r>
      <w:r w:rsidRPr="00C7079B">
        <w:rPr>
          <w:rFonts w:cs="Arial"/>
          <w:sz w:val="20"/>
          <w:szCs w:val="24"/>
          <w:lang w:val="en-US"/>
        </w:rPr>
        <w:t>, Vol. 39, nº 2, pp. 241-255.</w:t>
      </w:r>
    </w:p>
    <w:p w14:paraId="4807359F" w14:textId="77777777" w:rsidR="008B604B" w:rsidRDefault="00C851F0" w:rsidP="009D6BC4">
      <w:pPr>
        <w:spacing w:after="0"/>
        <w:ind w:left="284" w:hanging="284"/>
        <w:rPr>
          <w:rFonts w:cs="Arial"/>
          <w:sz w:val="20"/>
          <w:szCs w:val="24"/>
          <w:lang w:val="en-GB"/>
        </w:rPr>
      </w:pPr>
      <w:r w:rsidRPr="00C7079B">
        <w:rPr>
          <w:rFonts w:cs="Arial"/>
          <w:sz w:val="20"/>
          <w:szCs w:val="24"/>
          <w:lang w:val="en-GB"/>
        </w:rPr>
        <w:t xml:space="preserve">Fulton, M. (1999). </w:t>
      </w:r>
      <w:proofErr w:type="gramStart"/>
      <w:r w:rsidRPr="00C7079B">
        <w:rPr>
          <w:rFonts w:cs="Arial"/>
          <w:sz w:val="20"/>
          <w:szCs w:val="24"/>
          <w:lang w:val="en-GB"/>
        </w:rPr>
        <w:t xml:space="preserve">“Cooperatives and member commitment”, </w:t>
      </w:r>
      <w:r w:rsidRPr="00C7079B">
        <w:rPr>
          <w:rFonts w:cs="Arial"/>
          <w:i/>
          <w:sz w:val="20"/>
          <w:szCs w:val="24"/>
          <w:lang w:val="en-GB"/>
        </w:rPr>
        <w:t>Finnish Journal of Business Economics</w:t>
      </w:r>
      <w:r w:rsidRPr="00C7079B">
        <w:rPr>
          <w:rFonts w:cs="Arial"/>
          <w:sz w:val="20"/>
          <w:szCs w:val="24"/>
          <w:lang w:val="en-GB"/>
        </w:rPr>
        <w:t>, Vol. 48, nº 4, pp. 418-437.</w:t>
      </w:r>
      <w:proofErr w:type="gramEnd"/>
    </w:p>
    <w:p w14:paraId="57A10261" w14:textId="77777777" w:rsidR="008B604B" w:rsidRDefault="00C851F0" w:rsidP="009D6BC4">
      <w:pPr>
        <w:spacing w:after="0"/>
        <w:ind w:left="284" w:hanging="284"/>
        <w:rPr>
          <w:rFonts w:cs="Arial"/>
          <w:sz w:val="20"/>
          <w:szCs w:val="24"/>
          <w:lang w:val="en-GB"/>
        </w:rPr>
      </w:pPr>
      <w:r w:rsidRPr="00C7079B">
        <w:rPr>
          <w:rFonts w:cs="Arial"/>
          <w:sz w:val="20"/>
          <w:szCs w:val="24"/>
          <w:lang w:val="en-GB"/>
        </w:rPr>
        <w:t xml:space="preserve">Fulton, M. y </w:t>
      </w:r>
      <w:proofErr w:type="spellStart"/>
      <w:r w:rsidRPr="00C7079B">
        <w:rPr>
          <w:rFonts w:cs="Arial"/>
          <w:sz w:val="20"/>
          <w:szCs w:val="24"/>
          <w:lang w:val="en-GB"/>
        </w:rPr>
        <w:t>Giannakas</w:t>
      </w:r>
      <w:proofErr w:type="spellEnd"/>
      <w:r w:rsidRPr="00C7079B">
        <w:rPr>
          <w:rFonts w:cs="Arial"/>
          <w:sz w:val="20"/>
          <w:szCs w:val="24"/>
          <w:lang w:val="en-GB"/>
        </w:rPr>
        <w:t xml:space="preserve">, K. (2001). “Organizational commitment in mixed oligopoly: agricultural cooperatives and investor-owned ﬁrms”, </w:t>
      </w:r>
      <w:r w:rsidRPr="00C7079B">
        <w:rPr>
          <w:rFonts w:cs="Arial"/>
          <w:i/>
          <w:sz w:val="20"/>
          <w:szCs w:val="24"/>
          <w:lang w:val="en-GB"/>
        </w:rPr>
        <w:t>American Journal of Agricultural Economics</w:t>
      </w:r>
      <w:r w:rsidRPr="00C7079B">
        <w:rPr>
          <w:rFonts w:cs="Arial"/>
          <w:sz w:val="20"/>
          <w:szCs w:val="24"/>
          <w:lang w:val="en-GB"/>
        </w:rPr>
        <w:t>, Vol. 83, nº 5, pp. 1258-1265.</w:t>
      </w:r>
    </w:p>
    <w:p w14:paraId="56E53979" w14:textId="77777777" w:rsidR="008B604B" w:rsidRDefault="00C851F0" w:rsidP="009D6BC4">
      <w:pPr>
        <w:spacing w:after="0"/>
        <w:ind w:left="284" w:hanging="284"/>
        <w:rPr>
          <w:rFonts w:cs="Arial"/>
          <w:sz w:val="20"/>
          <w:szCs w:val="24"/>
          <w:lang w:val="en-GB"/>
        </w:rPr>
      </w:pPr>
      <w:r w:rsidRPr="00C7079B">
        <w:rPr>
          <w:rFonts w:cs="Arial"/>
          <w:sz w:val="20"/>
          <w:szCs w:val="24"/>
          <w:lang w:val="en-GB"/>
        </w:rPr>
        <w:t xml:space="preserve">Grant, R.M. (1996). </w:t>
      </w:r>
      <w:proofErr w:type="gramStart"/>
      <w:r w:rsidRPr="00C7079B">
        <w:rPr>
          <w:rFonts w:cs="Arial"/>
          <w:sz w:val="20"/>
          <w:szCs w:val="24"/>
          <w:lang w:val="en-GB"/>
        </w:rPr>
        <w:t xml:space="preserve">“Toward a knowledge-based theory of the firm”, </w:t>
      </w:r>
      <w:r w:rsidRPr="00C7079B">
        <w:rPr>
          <w:rFonts w:cs="Arial"/>
          <w:i/>
          <w:sz w:val="20"/>
          <w:szCs w:val="24"/>
          <w:lang w:val="en-GB"/>
        </w:rPr>
        <w:t>Strategic Management Journal</w:t>
      </w:r>
      <w:r w:rsidRPr="00C7079B">
        <w:rPr>
          <w:rFonts w:cs="Arial"/>
          <w:sz w:val="20"/>
          <w:szCs w:val="24"/>
          <w:lang w:val="en-GB"/>
        </w:rPr>
        <w:t>, Vol. 11, nº 5, pp. 407-414.</w:t>
      </w:r>
      <w:proofErr w:type="gramEnd"/>
    </w:p>
    <w:p w14:paraId="32DAC8ED" w14:textId="77777777" w:rsidR="008B604B" w:rsidRDefault="00C851F0" w:rsidP="009D6BC4">
      <w:pPr>
        <w:spacing w:after="0"/>
        <w:ind w:left="284" w:hanging="284"/>
        <w:rPr>
          <w:rFonts w:cs="Arial"/>
          <w:sz w:val="20"/>
          <w:szCs w:val="24"/>
          <w:lang w:val="en-GB"/>
        </w:rPr>
      </w:pPr>
      <w:r w:rsidRPr="00C7079B">
        <w:rPr>
          <w:rFonts w:cs="Arial"/>
          <w:sz w:val="20"/>
          <w:szCs w:val="24"/>
          <w:lang w:val="en-GB"/>
        </w:rPr>
        <w:lastRenderedPageBreak/>
        <w:t xml:space="preserve">Gripsrud, G., </w:t>
      </w:r>
      <w:proofErr w:type="spellStart"/>
      <w:r w:rsidRPr="00C7079B">
        <w:rPr>
          <w:rFonts w:cs="Arial"/>
          <w:sz w:val="20"/>
          <w:szCs w:val="24"/>
          <w:lang w:val="en-GB"/>
        </w:rPr>
        <w:t>Lenvik</w:t>
      </w:r>
      <w:proofErr w:type="spellEnd"/>
      <w:r w:rsidRPr="00C7079B">
        <w:rPr>
          <w:rFonts w:cs="Arial"/>
          <w:sz w:val="20"/>
          <w:szCs w:val="24"/>
          <w:lang w:val="en-GB"/>
        </w:rPr>
        <w:t xml:space="preserve">, G.H. y Olsen, N. (2000). “Influence activities in agricultural cooperatives: the impact of heterogeneity”, en </w:t>
      </w:r>
      <w:r w:rsidRPr="00C7079B">
        <w:rPr>
          <w:rFonts w:cs="Arial"/>
          <w:i/>
          <w:sz w:val="20"/>
          <w:szCs w:val="24"/>
          <w:lang w:val="en-GB"/>
        </w:rPr>
        <w:t>The Food Sector in Transition-Nordic Research</w:t>
      </w:r>
      <w:r w:rsidRPr="00C7079B">
        <w:rPr>
          <w:rFonts w:cs="Arial"/>
          <w:sz w:val="20"/>
          <w:szCs w:val="24"/>
          <w:lang w:val="en-GB"/>
        </w:rPr>
        <w:t xml:space="preserve">, Oslo, </w:t>
      </w:r>
      <w:proofErr w:type="spellStart"/>
      <w:r w:rsidRPr="00C7079B">
        <w:rPr>
          <w:rFonts w:cs="Arial"/>
          <w:sz w:val="20"/>
          <w:szCs w:val="24"/>
          <w:lang w:val="en-GB"/>
        </w:rPr>
        <w:t>junio</w:t>
      </w:r>
      <w:proofErr w:type="spellEnd"/>
      <w:r w:rsidRPr="00C7079B">
        <w:rPr>
          <w:rFonts w:cs="Arial"/>
          <w:sz w:val="20"/>
          <w:szCs w:val="24"/>
          <w:lang w:val="en-GB"/>
        </w:rPr>
        <w:t>.</w:t>
      </w:r>
    </w:p>
    <w:p w14:paraId="0E5AEA24" w14:textId="77777777" w:rsidR="008B604B" w:rsidRDefault="00C851F0" w:rsidP="009D6BC4">
      <w:pPr>
        <w:spacing w:after="0"/>
        <w:ind w:left="284" w:hanging="284"/>
        <w:rPr>
          <w:rFonts w:cs="Arial"/>
          <w:sz w:val="20"/>
          <w:szCs w:val="24"/>
          <w:lang w:val="en-GB"/>
        </w:rPr>
      </w:pPr>
      <w:r w:rsidRPr="00C7079B">
        <w:rPr>
          <w:rFonts w:cs="Arial"/>
          <w:sz w:val="20"/>
          <w:szCs w:val="24"/>
          <w:lang w:val="en-GB"/>
        </w:rPr>
        <w:t xml:space="preserve">Hart, O. y Moore, J. (1990). </w:t>
      </w:r>
      <w:proofErr w:type="gramStart"/>
      <w:r w:rsidRPr="00C7079B">
        <w:rPr>
          <w:rFonts w:cs="Arial"/>
          <w:sz w:val="20"/>
          <w:szCs w:val="24"/>
          <w:lang w:val="en-GB"/>
        </w:rPr>
        <w:t xml:space="preserve">“Property rights and the nature of the firm”, </w:t>
      </w:r>
      <w:r w:rsidRPr="00C7079B">
        <w:rPr>
          <w:rFonts w:cs="Arial"/>
          <w:i/>
          <w:sz w:val="20"/>
          <w:szCs w:val="24"/>
          <w:lang w:val="en-GB"/>
        </w:rPr>
        <w:t>Journal of Political Economy</w:t>
      </w:r>
      <w:r w:rsidRPr="00C7079B">
        <w:rPr>
          <w:rFonts w:cs="Arial"/>
          <w:sz w:val="20"/>
          <w:szCs w:val="24"/>
          <w:lang w:val="en-GB"/>
        </w:rPr>
        <w:t>, Vol. 98, nº 6, pp. 1119-1158.</w:t>
      </w:r>
      <w:proofErr w:type="gramEnd"/>
    </w:p>
    <w:p w14:paraId="50D529D7" w14:textId="77777777" w:rsidR="008B604B" w:rsidRDefault="00C851F0" w:rsidP="009D6BC4">
      <w:pPr>
        <w:spacing w:after="0"/>
        <w:ind w:left="284" w:hanging="284"/>
        <w:rPr>
          <w:rFonts w:cs="Arial"/>
          <w:sz w:val="20"/>
          <w:szCs w:val="24"/>
          <w:lang w:val="en-GB"/>
        </w:rPr>
      </w:pPr>
      <w:r w:rsidRPr="00C7079B">
        <w:rPr>
          <w:rFonts w:cs="Arial"/>
          <w:sz w:val="20"/>
          <w:szCs w:val="24"/>
          <w:lang w:val="en-GB"/>
        </w:rPr>
        <w:t xml:space="preserve">Henseler, J., </w:t>
      </w:r>
      <w:proofErr w:type="spellStart"/>
      <w:r w:rsidRPr="00C7079B">
        <w:rPr>
          <w:rFonts w:cs="Arial"/>
          <w:sz w:val="20"/>
          <w:szCs w:val="24"/>
          <w:lang w:val="en-GB"/>
        </w:rPr>
        <w:t>Ringle</w:t>
      </w:r>
      <w:proofErr w:type="spellEnd"/>
      <w:r w:rsidRPr="00C7079B">
        <w:rPr>
          <w:rFonts w:cs="Arial"/>
          <w:sz w:val="20"/>
          <w:szCs w:val="24"/>
          <w:lang w:val="en-GB"/>
        </w:rPr>
        <w:t xml:space="preserve">, C.M. y </w:t>
      </w:r>
      <w:proofErr w:type="spellStart"/>
      <w:r w:rsidRPr="00C7079B">
        <w:rPr>
          <w:rFonts w:cs="Arial"/>
          <w:sz w:val="20"/>
          <w:szCs w:val="24"/>
          <w:lang w:val="en-GB"/>
        </w:rPr>
        <w:t>Sinkovics</w:t>
      </w:r>
      <w:proofErr w:type="spellEnd"/>
      <w:r w:rsidRPr="00C7079B">
        <w:rPr>
          <w:rFonts w:cs="Arial"/>
          <w:sz w:val="20"/>
          <w:szCs w:val="24"/>
          <w:lang w:val="en-GB"/>
        </w:rPr>
        <w:t xml:space="preserve">, R.R. (2009). “The use of partial least squares path modelling in international marketing”, </w:t>
      </w:r>
      <w:r w:rsidRPr="00C7079B">
        <w:rPr>
          <w:rFonts w:cs="Arial"/>
          <w:i/>
          <w:sz w:val="20"/>
          <w:szCs w:val="24"/>
          <w:lang w:val="en-GB"/>
        </w:rPr>
        <w:t xml:space="preserve">Advances in International Marketing, </w:t>
      </w:r>
      <w:r w:rsidRPr="00C7079B">
        <w:rPr>
          <w:rFonts w:cs="Arial"/>
          <w:sz w:val="20"/>
          <w:szCs w:val="24"/>
          <w:lang w:val="en-GB"/>
        </w:rPr>
        <w:t>Vol. 20, pp. 277-319.</w:t>
      </w:r>
    </w:p>
    <w:p w14:paraId="1CB2F0E1" w14:textId="77777777" w:rsidR="008B604B" w:rsidRDefault="00C851F0" w:rsidP="009D6BC4">
      <w:pPr>
        <w:spacing w:after="0"/>
        <w:ind w:left="284" w:hanging="284"/>
        <w:rPr>
          <w:rFonts w:cs="Arial"/>
          <w:sz w:val="20"/>
          <w:szCs w:val="24"/>
          <w:lang w:val="en-GB"/>
        </w:rPr>
      </w:pPr>
      <w:r w:rsidRPr="00C7079B">
        <w:rPr>
          <w:rFonts w:cs="Arial"/>
          <w:sz w:val="20"/>
          <w:szCs w:val="24"/>
        </w:rPr>
        <w:t xml:space="preserve">Hernández-Espallardo, M., Rodríguez-Orejuela, A. y Sánchez-Pérez, M. (2010). </w:t>
      </w:r>
      <w:r w:rsidRPr="00C7079B">
        <w:rPr>
          <w:rFonts w:cs="Arial"/>
          <w:sz w:val="20"/>
          <w:szCs w:val="24"/>
          <w:lang w:val="en-GB"/>
        </w:rPr>
        <w:t xml:space="preserve">“Inter-organizational governance, learning and performance in supply chains”, </w:t>
      </w:r>
      <w:r w:rsidRPr="00C7079B">
        <w:rPr>
          <w:rFonts w:cs="Arial"/>
          <w:i/>
          <w:sz w:val="20"/>
          <w:szCs w:val="24"/>
          <w:lang w:val="en-GB"/>
        </w:rPr>
        <w:t>Supply Chain Management: An International Journal</w:t>
      </w:r>
      <w:r w:rsidRPr="00C7079B">
        <w:rPr>
          <w:rFonts w:cs="Arial"/>
          <w:sz w:val="20"/>
          <w:szCs w:val="24"/>
          <w:lang w:val="en-GB"/>
        </w:rPr>
        <w:t>, Vol. 15, nº 2, pp. 101-114.</w:t>
      </w:r>
    </w:p>
    <w:p w14:paraId="17CF9E10" w14:textId="77777777" w:rsidR="008B604B" w:rsidRDefault="00C851F0" w:rsidP="009D6BC4">
      <w:pPr>
        <w:spacing w:after="0"/>
        <w:ind w:left="284" w:hanging="284"/>
        <w:rPr>
          <w:rFonts w:cs="Arial"/>
          <w:sz w:val="20"/>
          <w:szCs w:val="24"/>
          <w:lang w:val="en-GB"/>
        </w:rPr>
      </w:pPr>
      <w:proofErr w:type="spellStart"/>
      <w:r w:rsidRPr="00C7079B">
        <w:rPr>
          <w:rFonts w:cs="Arial"/>
          <w:sz w:val="20"/>
          <w:szCs w:val="24"/>
          <w:lang w:val="en-GB"/>
        </w:rPr>
        <w:t>Hult</w:t>
      </w:r>
      <w:proofErr w:type="spellEnd"/>
      <w:r w:rsidRPr="00C7079B">
        <w:rPr>
          <w:rFonts w:cs="Arial"/>
          <w:sz w:val="20"/>
          <w:szCs w:val="24"/>
          <w:lang w:val="en-GB"/>
        </w:rPr>
        <w:t xml:space="preserve">, G.T.M., </w:t>
      </w:r>
      <w:proofErr w:type="spellStart"/>
      <w:r w:rsidRPr="00C7079B">
        <w:rPr>
          <w:rFonts w:cs="Arial"/>
          <w:sz w:val="20"/>
          <w:szCs w:val="24"/>
          <w:lang w:val="en-GB"/>
        </w:rPr>
        <w:t>Ketchen</w:t>
      </w:r>
      <w:proofErr w:type="spellEnd"/>
      <w:r w:rsidRPr="00C7079B">
        <w:rPr>
          <w:rFonts w:cs="Arial"/>
          <w:sz w:val="20"/>
          <w:szCs w:val="24"/>
          <w:lang w:val="en-GB"/>
        </w:rPr>
        <w:t xml:space="preserve">, </w:t>
      </w:r>
      <w:proofErr w:type="spellStart"/>
      <w:r w:rsidRPr="00C7079B">
        <w:rPr>
          <w:rFonts w:cs="Arial"/>
          <w:sz w:val="20"/>
          <w:szCs w:val="24"/>
          <w:lang w:val="en-GB"/>
        </w:rPr>
        <w:t>D.J.Jr</w:t>
      </w:r>
      <w:proofErr w:type="spellEnd"/>
      <w:r w:rsidRPr="00C7079B">
        <w:rPr>
          <w:rFonts w:cs="Arial"/>
          <w:sz w:val="20"/>
          <w:szCs w:val="24"/>
          <w:lang w:val="en-GB"/>
        </w:rPr>
        <w:t xml:space="preserve">. y Nichols, E.L. (2002). </w:t>
      </w:r>
      <w:proofErr w:type="gramStart"/>
      <w:r w:rsidRPr="00C7079B">
        <w:rPr>
          <w:rFonts w:cs="Arial"/>
          <w:sz w:val="20"/>
          <w:szCs w:val="24"/>
          <w:lang w:val="en-GB"/>
        </w:rPr>
        <w:t xml:space="preserve">“An examination of cultural competitiveness and order fulfilment cycle time within supply chains”, </w:t>
      </w:r>
      <w:r w:rsidRPr="00C7079B">
        <w:rPr>
          <w:rFonts w:cs="Arial"/>
          <w:i/>
          <w:sz w:val="20"/>
          <w:szCs w:val="24"/>
          <w:lang w:val="en-GB"/>
        </w:rPr>
        <w:t>Academy of Management Journal</w:t>
      </w:r>
      <w:r w:rsidRPr="00C7079B">
        <w:rPr>
          <w:rFonts w:cs="Arial"/>
          <w:sz w:val="20"/>
          <w:szCs w:val="24"/>
          <w:lang w:val="en-GB"/>
        </w:rPr>
        <w:t>, Vol. 45, nº 3, pp. 501-511.</w:t>
      </w:r>
      <w:proofErr w:type="gramEnd"/>
    </w:p>
    <w:p w14:paraId="12EF99BE" w14:textId="77777777" w:rsidR="008B604B" w:rsidRDefault="00C851F0" w:rsidP="009D6BC4">
      <w:pPr>
        <w:spacing w:after="0"/>
        <w:ind w:left="284" w:hanging="284"/>
        <w:rPr>
          <w:rFonts w:cs="Arial"/>
          <w:sz w:val="20"/>
          <w:szCs w:val="24"/>
          <w:lang w:val="en-GB"/>
        </w:rPr>
      </w:pPr>
      <w:proofErr w:type="spellStart"/>
      <w:r w:rsidRPr="00C7079B">
        <w:rPr>
          <w:rFonts w:cs="Arial"/>
          <w:sz w:val="20"/>
          <w:szCs w:val="24"/>
        </w:rPr>
        <w:t>Kalogeras</w:t>
      </w:r>
      <w:proofErr w:type="spellEnd"/>
      <w:r w:rsidRPr="00C7079B">
        <w:rPr>
          <w:rFonts w:cs="Arial"/>
          <w:sz w:val="20"/>
          <w:szCs w:val="24"/>
        </w:rPr>
        <w:t xml:space="preserve">, N., </w:t>
      </w:r>
      <w:proofErr w:type="spellStart"/>
      <w:r w:rsidRPr="00C7079B">
        <w:rPr>
          <w:rFonts w:cs="Arial"/>
          <w:sz w:val="20"/>
          <w:szCs w:val="24"/>
        </w:rPr>
        <w:t>Pennings</w:t>
      </w:r>
      <w:proofErr w:type="spellEnd"/>
      <w:r w:rsidRPr="00C7079B">
        <w:rPr>
          <w:rFonts w:cs="Arial"/>
          <w:sz w:val="20"/>
          <w:szCs w:val="24"/>
        </w:rPr>
        <w:t xml:space="preserve">, J.M.E., van der </w:t>
      </w:r>
      <w:proofErr w:type="spellStart"/>
      <w:r w:rsidRPr="00C7079B">
        <w:rPr>
          <w:rFonts w:cs="Arial"/>
          <w:sz w:val="20"/>
          <w:szCs w:val="24"/>
        </w:rPr>
        <w:t>Lans</w:t>
      </w:r>
      <w:proofErr w:type="spellEnd"/>
      <w:r w:rsidRPr="00C7079B">
        <w:rPr>
          <w:rFonts w:cs="Arial"/>
          <w:sz w:val="20"/>
          <w:szCs w:val="24"/>
        </w:rPr>
        <w:t xml:space="preserve">, I.A., García, P. y van </w:t>
      </w:r>
      <w:proofErr w:type="spellStart"/>
      <w:r w:rsidRPr="00C7079B">
        <w:rPr>
          <w:rFonts w:cs="Arial"/>
          <w:sz w:val="20"/>
          <w:szCs w:val="24"/>
        </w:rPr>
        <w:t>Dijk</w:t>
      </w:r>
      <w:proofErr w:type="spellEnd"/>
      <w:r w:rsidRPr="00C7079B">
        <w:rPr>
          <w:rFonts w:cs="Arial"/>
          <w:sz w:val="20"/>
          <w:szCs w:val="24"/>
        </w:rPr>
        <w:t xml:space="preserve">, G. (2009). </w:t>
      </w:r>
      <w:proofErr w:type="gramStart"/>
      <w:r w:rsidRPr="00C7079B">
        <w:rPr>
          <w:rFonts w:cs="Arial"/>
          <w:sz w:val="20"/>
          <w:szCs w:val="24"/>
          <w:lang w:val="en-GB"/>
        </w:rPr>
        <w:t xml:space="preserve">“Understanding heterogeneous preferences of cooperative members”, </w:t>
      </w:r>
      <w:r w:rsidRPr="00C7079B">
        <w:rPr>
          <w:rFonts w:cs="Arial"/>
          <w:i/>
          <w:sz w:val="20"/>
          <w:szCs w:val="24"/>
          <w:lang w:val="en-GB"/>
        </w:rPr>
        <w:t>Agribusiness</w:t>
      </w:r>
      <w:r w:rsidRPr="00C7079B">
        <w:rPr>
          <w:rFonts w:cs="Arial"/>
          <w:sz w:val="20"/>
          <w:szCs w:val="24"/>
          <w:lang w:val="en-GB"/>
        </w:rPr>
        <w:t>, Vol. 25, nº 9, pp. 90-111.</w:t>
      </w:r>
      <w:proofErr w:type="gramEnd"/>
    </w:p>
    <w:p w14:paraId="0CE9BDE8" w14:textId="77777777" w:rsidR="008B604B" w:rsidRDefault="00C851F0" w:rsidP="009D6BC4">
      <w:pPr>
        <w:spacing w:after="0"/>
        <w:ind w:left="284" w:hanging="284"/>
        <w:rPr>
          <w:rFonts w:cs="Arial"/>
          <w:sz w:val="20"/>
          <w:szCs w:val="24"/>
          <w:lang w:val="en-GB"/>
        </w:rPr>
      </w:pPr>
      <w:proofErr w:type="spellStart"/>
      <w:r w:rsidRPr="00C7079B">
        <w:rPr>
          <w:rFonts w:cs="Arial"/>
          <w:sz w:val="20"/>
          <w:szCs w:val="24"/>
        </w:rPr>
        <w:t>Kyriakopoulos</w:t>
      </w:r>
      <w:proofErr w:type="spellEnd"/>
      <w:r w:rsidRPr="00C7079B">
        <w:rPr>
          <w:rFonts w:cs="Arial"/>
          <w:sz w:val="20"/>
          <w:szCs w:val="24"/>
        </w:rPr>
        <w:t xml:space="preserve">, K., </w:t>
      </w:r>
      <w:proofErr w:type="spellStart"/>
      <w:r w:rsidRPr="00C7079B">
        <w:rPr>
          <w:rFonts w:cs="Arial"/>
          <w:sz w:val="20"/>
          <w:szCs w:val="24"/>
        </w:rPr>
        <w:t>Meulenberg</w:t>
      </w:r>
      <w:proofErr w:type="spellEnd"/>
      <w:r w:rsidRPr="00C7079B">
        <w:rPr>
          <w:rFonts w:cs="Arial"/>
          <w:sz w:val="20"/>
          <w:szCs w:val="24"/>
        </w:rPr>
        <w:t xml:space="preserve">, M. y </w:t>
      </w:r>
      <w:proofErr w:type="spellStart"/>
      <w:r w:rsidRPr="00C7079B">
        <w:rPr>
          <w:rFonts w:cs="Arial"/>
          <w:sz w:val="20"/>
          <w:szCs w:val="24"/>
        </w:rPr>
        <w:t>Nilsson</w:t>
      </w:r>
      <w:proofErr w:type="spellEnd"/>
      <w:r w:rsidRPr="00C7079B">
        <w:rPr>
          <w:rFonts w:cs="Arial"/>
          <w:sz w:val="20"/>
          <w:szCs w:val="24"/>
        </w:rPr>
        <w:t xml:space="preserve">, J. (2004). </w:t>
      </w:r>
      <w:proofErr w:type="gramStart"/>
      <w:r w:rsidRPr="00C7079B">
        <w:rPr>
          <w:rFonts w:cs="Arial"/>
          <w:sz w:val="20"/>
          <w:szCs w:val="24"/>
          <w:lang w:val="en-GB"/>
        </w:rPr>
        <w:t xml:space="preserve">“The impact of cooperative structure and firm culture on market orientation and performance”, </w:t>
      </w:r>
      <w:r w:rsidRPr="00C7079B">
        <w:rPr>
          <w:rFonts w:cs="Arial"/>
          <w:i/>
          <w:sz w:val="20"/>
          <w:szCs w:val="24"/>
          <w:lang w:val="en-GB"/>
        </w:rPr>
        <w:t>Agribusiness</w:t>
      </w:r>
      <w:r w:rsidRPr="00C7079B">
        <w:rPr>
          <w:rFonts w:cs="Arial"/>
          <w:sz w:val="20"/>
          <w:szCs w:val="24"/>
          <w:lang w:val="en-GB"/>
        </w:rPr>
        <w:t>, Vol. 20, nº 4, pp. 379-396.</w:t>
      </w:r>
      <w:proofErr w:type="gramEnd"/>
    </w:p>
    <w:p w14:paraId="7E272360" w14:textId="77777777" w:rsidR="008B604B" w:rsidRDefault="00C851F0" w:rsidP="009D6BC4">
      <w:pPr>
        <w:spacing w:after="0"/>
        <w:ind w:left="284" w:hanging="284"/>
        <w:rPr>
          <w:rFonts w:cs="Arial"/>
          <w:sz w:val="20"/>
          <w:szCs w:val="24"/>
        </w:rPr>
      </w:pPr>
      <w:r w:rsidRPr="00C7079B">
        <w:rPr>
          <w:rFonts w:cs="Arial"/>
          <w:sz w:val="20"/>
          <w:szCs w:val="24"/>
        </w:rPr>
        <w:t xml:space="preserve">Meliá, E. y Martínez, A. (2011). </w:t>
      </w:r>
      <w:r w:rsidRPr="00C7079B">
        <w:rPr>
          <w:rFonts w:cs="Arial"/>
          <w:i/>
          <w:sz w:val="20"/>
          <w:szCs w:val="24"/>
        </w:rPr>
        <w:t>Caracterización y análisis del impacto y los resultados de las fusiones de cooperativas en el sector agroalimentario español</w:t>
      </w:r>
      <w:r w:rsidRPr="00C7079B">
        <w:rPr>
          <w:rFonts w:cs="Arial"/>
          <w:sz w:val="20"/>
          <w:szCs w:val="24"/>
        </w:rPr>
        <w:t>. Almería: Cátedra Cajamar, Universidad de Almería.</w:t>
      </w:r>
    </w:p>
    <w:p w14:paraId="3E851F9F" w14:textId="77777777" w:rsidR="008B604B" w:rsidRDefault="00C851F0" w:rsidP="009D6BC4">
      <w:pPr>
        <w:spacing w:after="0"/>
        <w:ind w:left="284" w:hanging="284"/>
        <w:rPr>
          <w:rFonts w:cs="Arial"/>
          <w:sz w:val="20"/>
          <w:szCs w:val="24"/>
          <w:lang w:val="en-GB"/>
        </w:rPr>
      </w:pPr>
      <w:proofErr w:type="spellStart"/>
      <w:r w:rsidRPr="00C7079B">
        <w:rPr>
          <w:rFonts w:cs="Arial"/>
          <w:sz w:val="20"/>
          <w:szCs w:val="24"/>
        </w:rPr>
        <w:t>Mohr</w:t>
      </w:r>
      <w:proofErr w:type="spellEnd"/>
      <w:r w:rsidRPr="00C7079B">
        <w:rPr>
          <w:rFonts w:cs="Arial"/>
          <w:sz w:val="20"/>
          <w:szCs w:val="24"/>
        </w:rPr>
        <w:t xml:space="preserve">, J. y </w:t>
      </w:r>
      <w:proofErr w:type="spellStart"/>
      <w:r w:rsidRPr="00C7079B">
        <w:rPr>
          <w:rFonts w:cs="Arial"/>
          <w:sz w:val="20"/>
          <w:szCs w:val="24"/>
        </w:rPr>
        <w:t>Sengupta</w:t>
      </w:r>
      <w:proofErr w:type="spellEnd"/>
      <w:r w:rsidRPr="00C7079B">
        <w:rPr>
          <w:rFonts w:cs="Arial"/>
          <w:sz w:val="20"/>
          <w:szCs w:val="24"/>
        </w:rPr>
        <w:t xml:space="preserve">, S. (2002). </w:t>
      </w:r>
      <w:r w:rsidRPr="00C7079B">
        <w:rPr>
          <w:rFonts w:cs="Arial"/>
          <w:sz w:val="20"/>
          <w:szCs w:val="24"/>
          <w:lang w:val="en-GB"/>
        </w:rPr>
        <w:t xml:space="preserve">“Managing the paradox of inter-firm learning: the role of governance mechanisms”, </w:t>
      </w:r>
      <w:r w:rsidRPr="00C7079B">
        <w:rPr>
          <w:rFonts w:cs="Arial"/>
          <w:i/>
          <w:sz w:val="20"/>
          <w:szCs w:val="24"/>
          <w:lang w:val="en-GB"/>
        </w:rPr>
        <w:t>The Journal of Business &amp; Industrial Marketing</w:t>
      </w:r>
      <w:r w:rsidRPr="00C7079B">
        <w:rPr>
          <w:rFonts w:cs="Arial"/>
          <w:sz w:val="20"/>
          <w:szCs w:val="24"/>
          <w:lang w:val="en-GB"/>
        </w:rPr>
        <w:t>, Vol. 17, nº 4, pp. 282-301.</w:t>
      </w:r>
    </w:p>
    <w:p w14:paraId="141AF972" w14:textId="77777777" w:rsidR="008B604B" w:rsidRDefault="00C851F0" w:rsidP="009D6BC4">
      <w:pPr>
        <w:spacing w:after="0"/>
        <w:ind w:left="284" w:hanging="284"/>
        <w:rPr>
          <w:rFonts w:cs="Arial"/>
          <w:sz w:val="20"/>
          <w:szCs w:val="24"/>
          <w:lang w:val="en-GB"/>
        </w:rPr>
      </w:pPr>
      <w:r w:rsidRPr="00C7079B">
        <w:rPr>
          <w:rFonts w:cs="Arial"/>
          <w:sz w:val="20"/>
          <w:szCs w:val="24"/>
          <w:lang w:val="en-GB"/>
        </w:rPr>
        <w:t xml:space="preserve">Nilsson, J. (2001). </w:t>
      </w:r>
      <w:proofErr w:type="gramStart"/>
      <w:r w:rsidRPr="00C7079B">
        <w:rPr>
          <w:rFonts w:cs="Arial"/>
          <w:sz w:val="20"/>
          <w:szCs w:val="24"/>
          <w:lang w:val="en-GB"/>
        </w:rPr>
        <w:t xml:space="preserve">“Organisational principles for co-operative firms”, </w:t>
      </w:r>
      <w:r w:rsidRPr="00C7079B">
        <w:rPr>
          <w:rFonts w:cs="Arial"/>
          <w:i/>
          <w:sz w:val="20"/>
          <w:szCs w:val="24"/>
          <w:lang w:val="en-GB"/>
        </w:rPr>
        <w:t>Scandinavian Journal of Management</w:t>
      </w:r>
      <w:r w:rsidRPr="00C7079B">
        <w:rPr>
          <w:rFonts w:cs="Arial"/>
          <w:sz w:val="20"/>
          <w:szCs w:val="24"/>
          <w:lang w:val="en-GB"/>
        </w:rPr>
        <w:t>, Vol. 17, nº 3, pp. 329-356.</w:t>
      </w:r>
      <w:proofErr w:type="gramEnd"/>
    </w:p>
    <w:p w14:paraId="69E0465B" w14:textId="77777777" w:rsidR="008B604B" w:rsidRDefault="00C851F0" w:rsidP="009D6BC4">
      <w:pPr>
        <w:spacing w:after="0"/>
        <w:ind w:left="284" w:hanging="284"/>
        <w:rPr>
          <w:rFonts w:cs="Arial"/>
          <w:sz w:val="20"/>
          <w:szCs w:val="24"/>
          <w:lang w:val="en-US"/>
        </w:rPr>
      </w:pPr>
      <w:r w:rsidRPr="00C7079B">
        <w:rPr>
          <w:rFonts w:cs="Arial"/>
          <w:sz w:val="20"/>
          <w:szCs w:val="24"/>
          <w:lang w:val="en-GB"/>
        </w:rPr>
        <w:t xml:space="preserve">Nilsson, L. (2010). </w:t>
      </w:r>
      <w:proofErr w:type="gramStart"/>
      <w:r w:rsidRPr="00C7079B">
        <w:rPr>
          <w:rFonts w:cs="Arial"/>
          <w:i/>
          <w:sz w:val="20"/>
          <w:szCs w:val="24"/>
          <w:lang w:val="en-GB"/>
        </w:rPr>
        <w:t>Cooperatives in Transition.</w:t>
      </w:r>
      <w:proofErr w:type="gramEnd"/>
      <w:r w:rsidRPr="00C7079B">
        <w:rPr>
          <w:rFonts w:cs="Arial"/>
          <w:i/>
          <w:sz w:val="20"/>
          <w:szCs w:val="24"/>
          <w:lang w:val="en-GB"/>
        </w:rPr>
        <w:t xml:space="preserve"> Studies of Ownership </w:t>
      </w:r>
      <w:proofErr w:type="gramStart"/>
      <w:r w:rsidRPr="00C7079B">
        <w:rPr>
          <w:rFonts w:cs="Arial"/>
          <w:i/>
          <w:sz w:val="20"/>
          <w:szCs w:val="24"/>
          <w:lang w:val="en-GB"/>
        </w:rPr>
        <w:t>During</w:t>
      </w:r>
      <w:proofErr w:type="gramEnd"/>
      <w:r w:rsidRPr="00C7079B">
        <w:rPr>
          <w:rFonts w:cs="Arial"/>
          <w:i/>
          <w:sz w:val="20"/>
          <w:szCs w:val="24"/>
          <w:lang w:val="en-GB"/>
        </w:rPr>
        <w:t xml:space="preserve"> a Merger</w:t>
      </w:r>
      <w:r w:rsidRPr="00C7079B">
        <w:rPr>
          <w:rFonts w:cs="Arial"/>
          <w:sz w:val="20"/>
          <w:szCs w:val="24"/>
          <w:lang w:val="en-GB"/>
        </w:rPr>
        <w:t xml:space="preserve">. </w:t>
      </w:r>
      <w:proofErr w:type="spellStart"/>
      <w:proofErr w:type="gramStart"/>
      <w:r w:rsidRPr="00C7079B">
        <w:rPr>
          <w:rFonts w:cs="Arial"/>
          <w:sz w:val="20"/>
          <w:szCs w:val="24"/>
          <w:lang w:val="en-US"/>
        </w:rPr>
        <w:t>Tesis</w:t>
      </w:r>
      <w:proofErr w:type="spellEnd"/>
      <w:r w:rsidRPr="00C7079B">
        <w:rPr>
          <w:rFonts w:cs="Arial"/>
          <w:sz w:val="20"/>
          <w:szCs w:val="24"/>
          <w:lang w:val="en-US"/>
        </w:rPr>
        <w:t xml:space="preserve"> </w:t>
      </w:r>
      <w:proofErr w:type="spellStart"/>
      <w:r w:rsidRPr="00C7079B">
        <w:rPr>
          <w:rFonts w:cs="Arial"/>
          <w:sz w:val="20"/>
          <w:szCs w:val="24"/>
          <w:lang w:val="en-US"/>
        </w:rPr>
        <w:t>presentada</w:t>
      </w:r>
      <w:proofErr w:type="spellEnd"/>
      <w:r w:rsidRPr="00C7079B">
        <w:rPr>
          <w:rFonts w:cs="Arial"/>
          <w:sz w:val="20"/>
          <w:szCs w:val="24"/>
          <w:lang w:val="en-US"/>
        </w:rPr>
        <w:t xml:space="preserve"> en Swedish University of Agricultural Sciences, Uppsala (</w:t>
      </w:r>
      <w:proofErr w:type="spellStart"/>
      <w:r w:rsidRPr="00C7079B">
        <w:rPr>
          <w:rFonts w:cs="Arial"/>
          <w:sz w:val="20"/>
          <w:szCs w:val="24"/>
          <w:lang w:val="en-US"/>
        </w:rPr>
        <w:t>Suecia</w:t>
      </w:r>
      <w:proofErr w:type="spellEnd"/>
      <w:r w:rsidRPr="00C7079B">
        <w:rPr>
          <w:rFonts w:cs="Arial"/>
          <w:sz w:val="20"/>
          <w:szCs w:val="24"/>
          <w:lang w:val="en-US"/>
        </w:rPr>
        <w:t>).</w:t>
      </w:r>
      <w:proofErr w:type="gramEnd"/>
    </w:p>
    <w:p w14:paraId="5BF7F6E2" w14:textId="77777777" w:rsidR="008B604B" w:rsidRDefault="00C851F0" w:rsidP="009D6BC4">
      <w:pPr>
        <w:spacing w:after="0"/>
        <w:ind w:left="284" w:hanging="284"/>
        <w:rPr>
          <w:rFonts w:cs="Arial"/>
          <w:sz w:val="20"/>
          <w:szCs w:val="24"/>
          <w:lang w:val="en-GB"/>
        </w:rPr>
      </w:pPr>
      <w:proofErr w:type="spellStart"/>
      <w:r w:rsidRPr="00C7079B">
        <w:rPr>
          <w:rFonts w:cs="Arial"/>
          <w:sz w:val="20"/>
          <w:szCs w:val="24"/>
          <w:lang w:val="fr-FR"/>
        </w:rPr>
        <w:t>Österberg</w:t>
      </w:r>
      <w:proofErr w:type="spellEnd"/>
      <w:r w:rsidRPr="00C7079B">
        <w:rPr>
          <w:rFonts w:cs="Arial"/>
          <w:sz w:val="20"/>
          <w:szCs w:val="24"/>
          <w:lang w:val="fr-FR"/>
        </w:rPr>
        <w:t xml:space="preserve">, P. y Nilsson, J. (2009). </w:t>
      </w:r>
      <w:r w:rsidRPr="00C7079B">
        <w:rPr>
          <w:rFonts w:cs="Arial"/>
          <w:sz w:val="20"/>
          <w:szCs w:val="24"/>
          <w:lang w:val="en-GB"/>
        </w:rPr>
        <w:t xml:space="preserve">“Members’ perception of their participation in the governance of cooperatives: the key to trust and commitment in agricultural cooperatives”, </w:t>
      </w:r>
      <w:r w:rsidRPr="00C7079B">
        <w:rPr>
          <w:rFonts w:cs="Arial"/>
          <w:i/>
          <w:sz w:val="20"/>
          <w:szCs w:val="24"/>
          <w:lang w:val="en-GB"/>
        </w:rPr>
        <w:t>Agribusiness: An International Journal</w:t>
      </w:r>
      <w:r w:rsidRPr="00C7079B">
        <w:rPr>
          <w:rFonts w:cs="Arial"/>
          <w:sz w:val="20"/>
          <w:szCs w:val="24"/>
          <w:lang w:val="en-GB"/>
        </w:rPr>
        <w:t>, Vol. 25, nº 2, pp. 181-197.</w:t>
      </w:r>
    </w:p>
    <w:p w14:paraId="52C73689" w14:textId="77777777" w:rsidR="008B604B" w:rsidRDefault="00C851F0" w:rsidP="009D6BC4">
      <w:pPr>
        <w:spacing w:after="0"/>
        <w:ind w:left="284" w:hanging="284"/>
        <w:rPr>
          <w:rFonts w:cs="Arial"/>
          <w:sz w:val="20"/>
          <w:szCs w:val="24"/>
        </w:rPr>
      </w:pPr>
      <w:proofErr w:type="spellStart"/>
      <w:r w:rsidRPr="00C7079B">
        <w:rPr>
          <w:rFonts w:cs="Arial"/>
          <w:sz w:val="20"/>
          <w:szCs w:val="24"/>
        </w:rPr>
        <w:t>Planells</w:t>
      </w:r>
      <w:proofErr w:type="spellEnd"/>
      <w:r w:rsidRPr="00C7079B">
        <w:rPr>
          <w:rFonts w:cs="Arial"/>
          <w:sz w:val="20"/>
          <w:szCs w:val="24"/>
        </w:rPr>
        <w:t xml:space="preserve">, J.M. y Mir, J. (2002). “La </w:t>
      </w:r>
      <w:proofErr w:type="spellStart"/>
      <w:r w:rsidRPr="00C7079B">
        <w:rPr>
          <w:rFonts w:cs="Arial"/>
          <w:sz w:val="20"/>
          <w:szCs w:val="24"/>
        </w:rPr>
        <w:t>agroexportación</w:t>
      </w:r>
      <w:proofErr w:type="spellEnd"/>
      <w:r w:rsidRPr="00C7079B">
        <w:rPr>
          <w:rFonts w:cs="Arial"/>
          <w:sz w:val="20"/>
          <w:szCs w:val="24"/>
        </w:rPr>
        <w:t xml:space="preserve"> ante la nueva distribución alimentaria”, en García, J.M. (Coord.), </w:t>
      </w:r>
      <w:r w:rsidRPr="00C7079B">
        <w:rPr>
          <w:rFonts w:cs="Arial"/>
          <w:i/>
          <w:sz w:val="20"/>
          <w:szCs w:val="24"/>
        </w:rPr>
        <w:t>Mediterráneo Económico</w:t>
      </w:r>
      <w:r w:rsidRPr="00C7079B">
        <w:rPr>
          <w:rFonts w:cs="Arial"/>
          <w:sz w:val="20"/>
          <w:szCs w:val="24"/>
        </w:rPr>
        <w:t xml:space="preserve">. </w:t>
      </w:r>
      <w:r w:rsidRPr="00C7079B">
        <w:rPr>
          <w:rFonts w:cs="Arial"/>
          <w:i/>
          <w:sz w:val="20"/>
          <w:szCs w:val="24"/>
        </w:rPr>
        <w:t xml:space="preserve">La agricultura mediterránea en el siglo XXI, </w:t>
      </w:r>
      <w:r w:rsidRPr="00C7079B">
        <w:rPr>
          <w:rFonts w:cs="Arial"/>
          <w:sz w:val="20"/>
          <w:szCs w:val="24"/>
        </w:rPr>
        <w:t>nº 2 (pp. 124-139). Almería: Fundación Cajamar.</w:t>
      </w:r>
    </w:p>
    <w:p w14:paraId="3F83F7F7" w14:textId="77777777" w:rsidR="008B604B" w:rsidRDefault="00C851F0" w:rsidP="009D6BC4">
      <w:pPr>
        <w:spacing w:after="0"/>
        <w:ind w:left="284" w:hanging="284"/>
        <w:rPr>
          <w:rFonts w:cs="Arial"/>
          <w:sz w:val="20"/>
          <w:szCs w:val="24"/>
          <w:lang w:val="en-GB"/>
        </w:rPr>
      </w:pPr>
      <w:proofErr w:type="spellStart"/>
      <w:r w:rsidRPr="00C7079B">
        <w:rPr>
          <w:rFonts w:cs="Arial"/>
          <w:sz w:val="20"/>
          <w:szCs w:val="24"/>
        </w:rPr>
        <w:t>Rokkan</w:t>
      </w:r>
      <w:proofErr w:type="spellEnd"/>
      <w:r w:rsidRPr="00C7079B">
        <w:rPr>
          <w:rFonts w:cs="Arial"/>
          <w:sz w:val="20"/>
          <w:szCs w:val="24"/>
        </w:rPr>
        <w:t xml:space="preserve">, A.I., </w:t>
      </w:r>
      <w:proofErr w:type="spellStart"/>
      <w:r w:rsidRPr="00C7079B">
        <w:rPr>
          <w:rFonts w:cs="Arial"/>
          <w:sz w:val="20"/>
          <w:szCs w:val="24"/>
        </w:rPr>
        <w:t>Heide</w:t>
      </w:r>
      <w:proofErr w:type="spellEnd"/>
      <w:r w:rsidRPr="00C7079B">
        <w:rPr>
          <w:rFonts w:cs="Arial"/>
          <w:sz w:val="20"/>
          <w:szCs w:val="24"/>
        </w:rPr>
        <w:t xml:space="preserve">, J.B. y </w:t>
      </w:r>
      <w:proofErr w:type="spellStart"/>
      <w:r w:rsidRPr="00C7079B">
        <w:rPr>
          <w:rFonts w:cs="Arial"/>
          <w:sz w:val="20"/>
          <w:szCs w:val="24"/>
        </w:rPr>
        <w:t>Wathne</w:t>
      </w:r>
      <w:proofErr w:type="spellEnd"/>
      <w:r w:rsidRPr="00C7079B">
        <w:rPr>
          <w:rFonts w:cs="Arial"/>
          <w:sz w:val="20"/>
          <w:szCs w:val="24"/>
        </w:rPr>
        <w:t xml:space="preserve">, K.H. (2003). </w:t>
      </w:r>
      <w:r w:rsidRPr="00C7079B">
        <w:rPr>
          <w:rFonts w:cs="Arial"/>
          <w:sz w:val="20"/>
          <w:szCs w:val="24"/>
          <w:lang w:val="en-GB"/>
        </w:rPr>
        <w:t xml:space="preserve">“Special investments in marketing relationships: expropriation and bonding effects”, </w:t>
      </w:r>
      <w:r w:rsidRPr="00C7079B">
        <w:rPr>
          <w:rFonts w:cs="Arial"/>
          <w:i/>
          <w:sz w:val="20"/>
          <w:szCs w:val="24"/>
          <w:lang w:val="en-GB"/>
        </w:rPr>
        <w:t>Journal of Marketing Research</w:t>
      </w:r>
      <w:r w:rsidRPr="00C7079B">
        <w:rPr>
          <w:rFonts w:cs="Arial"/>
          <w:sz w:val="20"/>
          <w:szCs w:val="24"/>
          <w:lang w:val="en-GB"/>
        </w:rPr>
        <w:t>, Vol. 40, nº 2, pp. 210-224.</w:t>
      </w:r>
    </w:p>
    <w:p w14:paraId="44CCA289" w14:textId="77777777" w:rsidR="008B604B" w:rsidRDefault="00C851F0" w:rsidP="009D6BC4">
      <w:pPr>
        <w:spacing w:after="0"/>
        <w:ind w:left="284" w:hanging="284"/>
        <w:rPr>
          <w:rFonts w:cs="Arial"/>
          <w:sz w:val="20"/>
          <w:szCs w:val="24"/>
          <w:lang w:val="en-GB"/>
        </w:rPr>
      </w:pPr>
      <w:proofErr w:type="spellStart"/>
      <w:r w:rsidRPr="00C7079B">
        <w:rPr>
          <w:rFonts w:cs="Arial"/>
          <w:sz w:val="20"/>
          <w:szCs w:val="24"/>
        </w:rPr>
        <w:t>Sykuta</w:t>
      </w:r>
      <w:proofErr w:type="spellEnd"/>
      <w:r w:rsidRPr="00C7079B">
        <w:rPr>
          <w:rFonts w:cs="Arial"/>
          <w:sz w:val="20"/>
          <w:szCs w:val="24"/>
        </w:rPr>
        <w:t xml:space="preserve">, M.E. y Cook, M.L. (2001). </w:t>
      </w:r>
      <w:proofErr w:type="gramStart"/>
      <w:r w:rsidRPr="00C7079B">
        <w:rPr>
          <w:rFonts w:cs="Arial"/>
          <w:sz w:val="20"/>
          <w:szCs w:val="24"/>
          <w:lang w:val="en-GB"/>
        </w:rPr>
        <w:t xml:space="preserve">“A new institutional economics approach to contracts and cooperatives”, </w:t>
      </w:r>
      <w:r w:rsidRPr="00C7079B">
        <w:rPr>
          <w:rFonts w:cs="Arial"/>
          <w:i/>
          <w:sz w:val="20"/>
          <w:szCs w:val="24"/>
          <w:lang w:val="en-GB"/>
        </w:rPr>
        <w:t>American Journal of Agricultural Economics</w:t>
      </w:r>
      <w:r w:rsidRPr="00C7079B">
        <w:rPr>
          <w:rFonts w:cs="Arial"/>
          <w:sz w:val="20"/>
          <w:szCs w:val="24"/>
          <w:lang w:val="en-GB"/>
        </w:rPr>
        <w:t>, Vol. 83, nº 5, pp. 1273-1279.</w:t>
      </w:r>
      <w:proofErr w:type="gramEnd"/>
    </w:p>
    <w:p w14:paraId="79843982" w14:textId="77777777" w:rsidR="00C851F0" w:rsidRPr="00C7079B" w:rsidRDefault="00C851F0" w:rsidP="00C851F0">
      <w:pPr>
        <w:spacing w:after="0"/>
        <w:rPr>
          <w:rFonts w:cs="Arial"/>
          <w:sz w:val="20"/>
          <w:szCs w:val="24"/>
          <w:lang w:val="en-GB"/>
        </w:rPr>
      </w:pPr>
      <w:proofErr w:type="spellStart"/>
      <w:r w:rsidRPr="00C7079B">
        <w:rPr>
          <w:rFonts w:cs="Arial"/>
          <w:sz w:val="20"/>
          <w:szCs w:val="24"/>
          <w:lang w:val="en-GB"/>
        </w:rPr>
        <w:t>Tirole</w:t>
      </w:r>
      <w:proofErr w:type="spellEnd"/>
      <w:r w:rsidRPr="00C7079B">
        <w:rPr>
          <w:rFonts w:cs="Arial"/>
          <w:sz w:val="20"/>
          <w:szCs w:val="24"/>
          <w:lang w:val="en-GB"/>
        </w:rPr>
        <w:t xml:space="preserve">, J. (2001). </w:t>
      </w:r>
      <w:proofErr w:type="gramStart"/>
      <w:r w:rsidRPr="00C7079B">
        <w:rPr>
          <w:rFonts w:cs="Arial"/>
          <w:sz w:val="20"/>
          <w:szCs w:val="24"/>
          <w:lang w:val="en-GB"/>
        </w:rPr>
        <w:t xml:space="preserve">“Corporate governance”, </w:t>
      </w:r>
      <w:proofErr w:type="spellStart"/>
      <w:r w:rsidRPr="00C7079B">
        <w:rPr>
          <w:rFonts w:cs="Arial"/>
          <w:i/>
          <w:sz w:val="20"/>
          <w:szCs w:val="24"/>
          <w:lang w:val="en-GB"/>
        </w:rPr>
        <w:t>Econometrica</w:t>
      </w:r>
      <w:proofErr w:type="spellEnd"/>
      <w:r w:rsidRPr="00C7079B">
        <w:rPr>
          <w:rFonts w:cs="Arial"/>
          <w:sz w:val="20"/>
          <w:szCs w:val="24"/>
          <w:lang w:val="en-GB"/>
        </w:rPr>
        <w:t>, Vol. 69, nº 1, pp. 1-35.</w:t>
      </w:r>
      <w:proofErr w:type="gramEnd"/>
    </w:p>
    <w:p w14:paraId="609F24F7" w14:textId="77777777" w:rsidR="008B604B" w:rsidRDefault="00C851F0" w:rsidP="009D6BC4">
      <w:pPr>
        <w:spacing w:after="0"/>
        <w:ind w:left="284" w:hanging="284"/>
        <w:rPr>
          <w:rFonts w:cs="Arial"/>
          <w:sz w:val="20"/>
          <w:szCs w:val="24"/>
          <w:lang w:val="en-GB"/>
        </w:rPr>
      </w:pPr>
      <w:proofErr w:type="spellStart"/>
      <w:proofErr w:type="gramStart"/>
      <w:r w:rsidRPr="00C7079B">
        <w:rPr>
          <w:rFonts w:cs="Arial"/>
          <w:sz w:val="20"/>
          <w:szCs w:val="24"/>
          <w:lang w:val="en-GB"/>
        </w:rPr>
        <w:t>Wathne</w:t>
      </w:r>
      <w:proofErr w:type="spellEnd"/>
      <w:r w:rsidRPr="00C7079B">
        <w:rPr>
          <w:rFonts w:cs="Arial"/>
          <w:sz w:val="20"/>
          <w:szCs w:val="24"/>
          <w:lang w:val="en-GB"/>
        </w:rPr>
        <w:t xml:space="preserve">, K.H. y </w:t>
      </w:r>
      <w:proofErr w:type="spellStart"/>
      <w:r w:rsidRPr="00C7079B">
        <w:rPr>
          <w:rFonts w:cs="Arial"/>
          <w:sz w:val="20"/>
          <w:szCs w:val="24"/>
          <w:lang w:val="en-GB"/>
        </w:rPr>
        <w:t>Heide</w:t>
      </w:r>
      <w:proofErr w:type="spellEnd"/>
      <w:r w:rsidRPr="00C7079B">
        <w:rPr>
          <w:rFonts w:cs="Arial"/>
          <w:sz w:val="20"/>
          <w:szCs w:val="24"/>
          <w:lang w:val="en-GB"/>
        </w:rPr>
        <w:t>, J.B. (2000).</w:t>
      </w:r>
      <w:proofErr w:type="gramEnd"/>
      <w:r w:rsidRPr="00C7079B">
        <w:rPr>
          <w:rFonts w:cs="Arial"/>
          <w:sz w:val="20"/>
          <w:szCs w:val="24"/>
          <w:lang w:val="en-GB"/>
        </w:rPr>
        <w:t xml:space="preserve"> “Opportunism in </w:t>
      </w:r>
      <w:proofErr w:type="spellStart"/>
      <w:r w:rsidRPr="00C7079B">
        <w:rPr>
          <w:rFonts w:cs="Arial"/>
          <w:sz w:val="20"/>
          <w:szCs w:val="24"/>
          <w:lang w:val="en-GB"/>
        </w:rPr>
        <w:t>interfirm</w:t>
      </w:r>
      <w:proofErr w:type="spellEnd"/>
      <w:r w:rsidRPr="00C7079B">
        <w:rPr>
          <w:rFonts w:cs="Arial"/>
          <w:sz w:val="20"/>
          <w:szCs w:val="24"/>
          <w:lang w:val="en-GB"/>
        </w:rPr>
        <w:t xml:space="preserve"> relationships: forms, outcomes, and solutions”, </w:t>
      </w:r>
      <w:r w:rsidRPr="00C7079B">
        <w:rPr>
          <w:rFonts w:cs="Arial"/>
          <w:i/>
          <w:sz w:val="20"/>
          <w:szCs w:val="24"/>
          <w:lang w:val="en-GB"/>
        </w:rPr>
        <w:t>Journal of Marketing</w:t>
      </w:r>
      <w:r w:rsidRPr="00C7079B">
        <w:rPr>
          <w:rFonts w:cs="Arial"/>
          <w:sz w:val="20"/>
          <w:szCs w:val="24"/>
          <w:lang w:val="en-GB"/>
        </w:rPr>
        <w:t>, Vol. 64, nº 4, pp. 36-51.</w:t>
      </w:r>
    </w:p>
    <w:p w14:paraId="5459F192" w14:textId="77777777" w:rsidR="00440082" w:rsidRDefault="00C7079B" w:rsidP="009D6BC4">
      <w:pPr>
        <w:spacing w:after="0"/>
        <w:ind w:left="284" w:hanging="284"/>
        <w:rPr>
          <w:rFonts w:cs="Arial"/>
          <w:sz w:val="20"/>
          <w:szCs w:val="24"/>
          <w:lang w:val="en-GB"/>
        </w:rPr>
      </w:pPr>
      <w:r w:rsidRPr="00C7079B">
        <w:rPr>
          <w:rFonts w:cs="Arial"/>
          <w:sz w:val="20"/>
          <w:szCs w:val="24"/>
          <w:lang w:val="en-GB"/>
        </w:rPr>
        <w:t>Williamson, O.E. (1985). The Economic Institutions of Capitalism: Firms, Markets, Relational Contracting. New York: The Free Press.</w:t>
      </w:r>
    </w:p>
    <w:sectPr w:rsidR="00440082" w:rsidSect="00E535D3">
      <w:footerReference w:type="even"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048C0" w14:textId="77777777" w:rsidR="00FC391A" w:rsidRDefault="00FC391A" w:rsidP="00F94B11">
      <w:pPr>
        <w:spacing w:after="0"/>
      </w:pPr>
      <w:r>
        <w:separator/>
      </w:r>
    </w:p>
  </w:endnote>
  <w:endnote w:type="continuationSeparator" w:id="0">
    <w:p w14:paraId="6C40E719" w14:textId="77777777" w:rsidR="00FC391A" w:rsidRDefault="00FC391A" w:rsidP="00F94B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DF8F7" w14:textId="77777777" w:rsidR="00DC2F1A" w:rsidRDefault="00110891" w:rsidP="00123066">
    <w:pPr>
      <w:pStyle w:val="Piedepgina"/>
      <w:framePr w:wrap="around" w:vAnchor="text" w:hAnchor="margin" w:xAlign="center" w:y="1"/>
      <w:rPr>
        <w:rStyle w:val="Nmerodepgina"/>
      </w:rPr>
    </w:pPr>
    <w:r>
      <w:rPr>
        <w:rStyle w:val="Nmerodepgina"/>
      </w:rPr>
      <w:fldChar w:fldCharType="begin"/>
    </w:r>
    <w:r w:rsidR="00DC2F1A">
      <w:rPr>
        <w:rStyle w:val="Nmerodepgina"/>
      </w:rPr>
      <w:instrText xml:space="preserve">PAGE  </w:instrText>
    </w:r>
    <w:r>
      <w:rPr>
        <w:rStyle w:val="Nmerodepgina"/>
      </w:rPr>
      <w:fldChar w:fldCharType="end"/>
    </w:r>
  </w:p>
  <w:p w14:paraId="2284F5B9" w14:textId="77777777" w:rsidR="00DC2F1A" w:rsidRDefault="00DC2F1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0FA4B" w14:textId="77777777" w:rsidR="00DC2F1A" w:rsidRDefault="00110891" w:rsidP="00123066">
    <w:pPr>
      <w:pStyle w:val="Piedepgina"/>
      <w:framePr w:wrap="around" w:vAnchor="text" w:hAnchor="margin" w:xAlign="center" w:y="1"/>
      <w:rPr>
        <w:rStyle w:val="Nmerodepgina"/>
      </w:rPr>
    </w:pPr>
    <w:r>
      <w:rPr>
        <w:rStyle w:val="Nmerodepgina"/>
      </w:rPr>
      <w:fldChar w:fldCharType="begin"/>
    </w:r>
    <w:r w:rsidR="00DC2F1A">
      <w:rPr>
        <w:rStyle w:val="Nmerodepgina"/>
      </w:rPr>
      <w:instrText xml:space="preserve">PAGE  </w:instrText>
    </w:r>
    <w:r>
      <w:rPr>
        <w:rStyle w:val="Nmerodepgina"/>
      </w:rPr>
      <w:fldChar w:fldCharType="separate"/>
    </w:r>
    <w:r w:rsidR="00555851">
      <w:rPr>
        <w:rStyle w:val="Nmerodepgina"/>
        <w:noProof/>
      </w:rPr>
      <w:t>1</w:t>
    </w:r>
    <w:r>
      <w:rPr>
        <w:rStyle w:val="Nmerodepgina"/>
      </w:rPr>
      <w:fldChar w:fldCharType="end"/>
    </w:r>
  </w:p>
  <w:p w14:paraId="288EB7DC" w14:textId="77777777" w:rsidR="00DC2F1A" w:rsidRDefault="00DC2F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5CCEA" w14:textId="77777777" w:rsidR="00FC391A" w:rsidRDefault="00FC391A" w:rsidP="00F94B11">
      <w:pPr>
        <w:spacing w:after="0"/>
      </w:pPr>
      <w:r>
        <w:separator/>
      </w:r>
    </w:p>
  </w:footnote>
  <w:footnote w:type="continuationSeparator" w:id="0">
    <w:p w14:paraId="559F19D3" w14:textId="77777777" w:rsidR="00FC391A" w:rsidRDefault="00FC391A" w:rsidP="00F94B11">
      <w:pPr>
        <w:spacing w:after="0"/>
      </w:pPr>
      <w:r>
        <w:continuationSeparator/>
      </w:r>
    </w:p>
  </w:footnote>
  <w:footnote w:id="1">
    <w:p w14:paraId="755923CF" w14:textId="77777777" w:rsidR="00DC2F1A" w:rsidRDefault="00DC2F1A">
      <w:pPr>
        <w:pStyle w:val="Textonotapie"/>
      </w:pPr>
      <w:r>
        <w:rPr>
          <w:rStyle w:val="Refdenotaalpie"/>
        </w:rPr>
        <w:footnoteRef/>
      </w:r>
      <w:r>
        <w:t xml:space="preserve"> </w:t>
      </w:r>
      <w:r w:rsidRPr="00C9313A">
        <w:rPr>
          <w:rFonts w:cs="Arial"/>
        </w:rPr>
        <w:t>F</w:t>
      </w:r>
      <w:r w:rsidRPr="00C9313A">
        <w:rPr>
          <w:rFonts w:cs="Arial"/>
          <w:szCs w:val="18"/>
        </w:rPr>
        <w:t>inanciado por el Ministerio de Ciencia e Innovación (MICINN) y FEDER (proyectos AGL2010-22335-C03-02 y AGL2010-22335-C03-03).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87199"/>
    <w:multiLevelType w:val="hybridMultilevel"/>
    <w:tmpl w:val="2E0AB046"/>
    <w:lvl w:ilvl="0" w:tplc="7C8EDEAC">
      <w:start w:val="2"/>
      <w:numFmt w:val="bullet"/>
      <w:lvlText w:val="-"/>
      <w:lvlJc w:val="left"/>
      <w:pPr>
        <w:ind w:left="1065" w:hanging="360"/>
      </w:pPr>
      <w:rPr>
        <w:rFonts w:ascii="Times New Roman" w:eastAsia="Times New Roman" w:hAnsi="Times New Roman" w:cs="Times New Roman" w:hint="default"/>
      </w:rPr>
    </w:lvl>
    <w:lvl w:ilvl="1" w:tplc="0C0A0003">
      <w:start w:val="1"/>
      <w:numFmt w:val="bullet"/>
      <w:lvlText w:val="o"/>
      <w:lvlJc w:val="left"/>
      <w:pPr>
        <w:ind w:left="1785" w:hanging="360"/>
      </w:pPr>
      <w:rPr>
        <w:rFonts w:ascii="Courier New" w:hAnsi="Courier New" w:cs="Wingdings"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Wingdings"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Wingdings" w:hint="default"/>
      </w:rPr>
    </w:lvl>
    <w:lvl w:ilvl="8" w:tplc="0C0A0005">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8D1"/>
    <w:rsid w:val="00011E94"/>
    <w:rsid w:val="00034895"/>
    <w:rsid w:val="0005230C"/>
    <w:rsid w:val="0006087F"/>
    <w:rsid w:val="00095F8F"/>
    <w:rsid w:val="000A16B1"/>
    <w:rsid w:val="000B2580"/>
    <w:rsid w:val="000D38D2"/>
    <w:rsid w:val="000E634E"/>
    <w:rsid w:val="00110891"/>
    <w:rsid w:val="00123066"/>
    <w:rsid w:val="00124083"/>
    <w:rsid w:val="00140476"/>
    <w:rsid w:val="00147284"/>
    <w:rsid w:val="00155E4C"/>
    <w:rsid w:val="0016599C"/>
    <w:rsid w:val="001A1601"/>
    <w:rsid w:val="00232293"/>
    <w:rsid w:val="00275EEA"/>
    <w:rsid w:val="002E42CE"/>
    <w:rsid w:val="00350D58"/>
    <w:rsid w:val="00410353"/>
    <w:rsid w:val="00440082"/>
    <w:rsid w:val="004930FD"/>
    <w:rsid w:val="005277C4"/>
    <w:rsid w:val="00527E4C"/>
    <w:rsid w:val="00555851"/>
    <w:rsid w:val="005B0176"/>
    <w:rsid w:val="005C5156"/>
    <w:rsid w:val="005D22AF"/>
    <w:rsid w:val="005F4B01"/>
    <w:rsid w:val="00626D17"/>
    <w:rsid w:val="00651CDB"/>
    <w:rsid w:val="00665C91"/>
    <w:rsid w:val="00684108"/>
    <w:rsid w:val="006A2A56"/>
    <w:rsid w:val="006A3D35"/>
    <w:rsid w:val="006D38D1"/>
    <w:rsid w:val="006E5AC6"/>
    <w:rsid w:val="006E69BE"/>
    <w:rsid w:val="006F415B"/>
    <w:rsid w:val="00776788"/>
    <w:rsid w:val="0078129B"/>
    <w:rsid w:val="0079504E"/>
    <w:rsid w:val="007B5F0B"/>
    <w:rsid w:val="007C769B"/>
    <w:rsid w:val="007D2E72"/>
    <w:rsid w:val="00822BF1"/>
    <w:rsid w:val="008265B4"/>
    <w:rsid w:val="00844B99"/>
    <w:rsid w:val="00882CE9"/>
    <w:rsid w:val="008B604B"/>
    <w:rsid w:val="008B6373"/>
    <w:rsid w:val="008E3043"/>
    <w:rsid w:val="00932112"/>
    <w:rsid w:val="009757CD"/>
    <w:rsid w:val="009869A3"/>
    <w:rsid w:val="00987882"/>
    <w:rsid w:val="009B25C5"/>
    <w:rsid w:val="009C7842"/>
    <w:rsid w:val="009D6BC4"/>
    <w:rsid w:val="00A241EE"/>
    <w:rsid w:val="00A5302E"/>
    <w:rsid w:val="00A53BDF"/>
    <w:rsid w:val="00A5620A"/>
    <w:rsid w:val="00A774F1"/>
    <w:rsid w:val="00AB1AA6"/>
    <w:rsid w:val="00B22B15"/>
    <w:rsid w:val="00B259A2"/>
    <w:rsid w:val="00B45D73"/>
    <w:rsid w:val="00B85EAC"/>
    <w:rsid w:val="00BA13C4"/>
    <w:rsid w:val="00BA34A4"/>
    <w:rsid w:val="00C34655"/>
    <w:rsid w:val="00C522A1"/>
    <w:rsid w:val="00C7079B"/>
    <w:rsid w:val="00C851F0"/>
    <w:rsid w:val="00CA2815"/>
    <w:rsid w:val="00CC178A"/>
    <w:rsid w:val="00CC713E"/>
    <w:rsid w:val="00D002EF"/>
    <w:rsid w:val="00D327F5"/>
    <w:rsid w:val="00D60990"/>
    <w:rsid w:val="00DA3695"/>
    <w:rsid w:val="00DC2F1A"/>
    <w:rsid w:val="00DC5199"/>
    <w:rsid w:val="00E535D3"/>
    <w:rsid w:val="00E70A5C"/>
    <w:rsid w:val="00F54E59"/>
    <w:rsid w:val="00F72675"/>
    <w:rsid w:val="00F72DAC"/>
    <w:rsid w:val="00F809B5"/>
    <w:rsid w:val="00F94B11"/>
    <w:rsid w:val="00FC391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B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91"/>
    <w:pPr>
      <w:spacing w:line="240" w:lineRule="auto"/>
      <w:jc w:val="both"/>
    </w:pPr>
    <w:rPr>
      <w:rFonts w:ascii="Arial" w:hAnsi="Arial"/>
    </w:rPr>
  </w:style>
  <w:style w:type="paragraph" w:styleId="Ttulo1">
    <w:name w:val="heading 1"/>
    <w:basedOn w:val="Normal"/>
    <w:next w:val="Normal"/>
    <w:link w:val="Ttulo1Car"/>
    <w:uiPriority w:val="9"/>
    <w:qFormat/>
    <w:rsid w:val="00F94B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45D73"/>
    <w:pPr>
      <w:keepNext/>
      <w:keepLines/>
      <w:spacing w:before="200" w:after="0"/>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iPriority w:val="9"/>
    <w:unhideWhenUsed/>
    <w:qFormat/>
    <w:rsid w:val="007C76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4B11"/>
    <w:pPr>
      <w:tabs>
        <w:tab w:val="center" w:pos="4252"/>
        <w:tab w:val="right" w:pos="8504"/>
      </w:tabs>
      <w:spacing w:after="0"/>
    </w:pPr>
  </w:style>
  <w:style w:type="character" w:customStyle="1" w:styleId="EncabezadoCar">
    <w:name w:val="Encabezado Car"/>
    <w:basedOn w:val="Fuentedeprrafopredeter"/>
    <w:link w:val="Encabezado"/>
    <w:uiPriority w:val="99"/>
    <w:rsid w:val="00F94B11"/>
  </w:style>
  <w:style w:type="paragraph" w:styleId="Piedepgina">
    <w:name w:val="footer"/>
    <w:basedOn w:val="Normal"/>
    <w:link w:val="PiedepginaCar"/>
    <w:uiPriority w:val="99"/>
    <w:unhideWhenUsed/>
    <w:rsid w:val="00F94B11"/>
    <w:pPr>
      <w:tabs>
        <w:tab w:val="center" w:pos="4252"/>
        <w:tab w:val="right" w:pos="8504"/>
      </w:tabs>
      <w:spacing w:after="0"/>
    </w:pPr>
  </w:style>
  <w:style w:type="character" w:customStyle="1" w:styleId="PiedepginaCar">
    <w:name w:val="Pie de página Car"/>
    <w:basedOn w:val="Fuentedeprrafopredeter"/>
    <w:link w:val="Piedepgina"/>
    <w:uiPriority w:val="99"/>
    <w:rsid w:val="00F94B11"/>
  </w:style>
  <w:style w:type="character" w:customStyle="1" w:styleId="Ttulo1Car">
    <w:name w:val="Título 1 Car"/>
    <w:basedOn w:val="Fuentedeprrafopredeter"/>
    <w:link w:val="Ttulo1"/>
    <w:uiPriority w:val="9"/>
    <w:rsid w:val="00F94B1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45D73"/>
    <w:rPr>
      <w:rFonts w:ascii="Arial" w:eastAsiaTheme="majorEastAsia" w:hAnsi="Arial" w:cstheme="majorBidi"/>
      <w:b/>
      <w:bCs/>
      <w:color w:val="4F81BD" w:themeColor="accent1"/>
      <w:sz w:val="26"/>
      <w:szCs w:val="26"/>
    </w:rPr>
  </w:style>
  <w:style w:type="paragraph" w:styleId="Textodeglobo">
    <w:name w:val="Balloon Text"/>
    <w:basedOn w:val="Normal"/>
    <w:link w:val="TextodegloboCar"/>
    <w:uiPriority w:val="99"/>
    <w:semiHidden/>
    <w:unhideWhenUsed/>
    <w:rsid w:val="0014728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7284"/>
    <w:rPr>
      <w:rFonts w:ascii="Tahoma" w:hAnsi="Tahoma" w:cs="Tahoma"/>
      <w:sz w:val="16"/>
      <w:szCs w:val="16"/>
    </w:rPr>
  </w:style>
  <w:style w:type="paragraph" w:styleId="Textonotapie">
    <w:name w:val="footnote text"/>
    <w:basedOn w:val="Normal"/>
    <w:link w:val="TextonotapieCar"/>
    <w:uiPriority w:val="99"/>
    <w:unhideWhenUsed/>
    <w:rsid w:val="00932112"/>
    <w:pPr>
      <w:spacing w:after="0"/>
    </w:pPr>
    <w:rPr>
      <w:sz w:val="20"/>
      <w:szCs w:val="20"/>
    </w:rPr>
  </w:style>
  <w:style w:type="character" w:customStyle="1" w:styleId="TextonotapieCar">
    <w:name w:val="Texto nota pie Car"/>
    <w:basedOn w:val="Fuentedeprrafopredeter"/>
    <w:link w:val="Textonotapie"/>
    <w:uiPriority w:val="99"/>
    <w:rsid w:val="00932112"/>
    <w:rPr>
      <w:sz w:val="20"/>
      <w:szCs w:val="20"/>
    </w:rPr>
  </w:style>
  <w:style w:type="character" w:styleId="Refdenotaalpie">
    <w:name w:val="footnote reference"/>
    <w:basedOn w:val="Fuentedeprrafopredeter"/>
    <w:uiPriority w:val="99"/>
    <w:semiHidden/>
    <w:unhideWhenUsed/>
    <w:rsid w:val="00932112"/>
    <w:rPr>
      <w:vertAlign w:val="superscript"/>
    </w:rPr>
  </w:style>
  <w:style w:type="character" w:customStyle="1" w:styleId="Ttulo3Car">
    <w:name w:val="Título 3 Car"/>
    <w:basedOn w:val="Fuentedeprrafopredeter"/>
    <w:link w:val="Ttulo3"/>
    <w:uiPriority w:val="9"/>
    <w:rsid w:val="007C769B"/>
    <w:rPr>
      <w:rFonts w:asciiTheme="majorHAnsi" w:eastAsiaTheme="majorEastAsia" w:hAnsiTheme="majorHAnsi" w:cstheme="majorBidi"/>
      <w:b/>
      <w:bCs/>
      <w:color w:val="4F81BD" w:themeColor="accent1"/>
    </w:rPr>
  </w:style>
  <w:style w:type="character" w:styleId="Nmerodepgina">
    <w:name w:val="page number"/>
    <w:basedOn w:val="Fuentedeprrafopredeter"/>
    <w:uiPriority w:val="99"/>
    <w:semiHidden/>
    <w:unhideWhenUsed/>
    <w:rsid w:val="00AB1AA6"/>
  </w:style>
  <w:style w:type="paragraph" w:styleId="Textoindependiente">
    <w:name w:val="Body Text"/>
    <w:basedOn w:val="Normal"/>
    <w:link w:val="TextoindependienteCar"/>
    <w:rsid w:val="00B45D73"/>
    <w:pPr>
      <w:spacing w:before="120" w:after="120"/>
    </w:pPr>
    <w:rPr>
      <w:rFonts w:ascii="Times New Roman" w:eastAsia="Times New Roman" w:hAnsi="Times New Roman" w:cs="Times New Roman"/>
      <w:szCs w:val="24"/>
      <w:lang w:eastAsia="es-ES"/>
    </w:rPr>
  </w:style>
  <w:style w:type="character" w:customStyle="1" w:styleId="TextoindependienteCar">
    <w:name w:val="Texto independiente Car"/>
    <w:basedOn w:val="Fuentedeprrafopredeter"/>
    <w:link w:val="Textoindependiente"/>
    <w:rsid w:val="00B45D73"/>
    <w:rPr>
      <w:rFonts w:ascii="Times New Roman" w:eastAsia="Times New Roman" w:hAnsi="Times New Roman" w:cs="Times New Roman"/>
      <w:szCs w:val="24"/>
      <w:lang w:eastAsia="es-ES"/>
    </w:rPr>
  </w:style>
  <w:style w:type="character" w:styleId="Hipervnculo">
    <w:name w:val="Hyperlink"/>
    <w:uiPriority w:val="99"/>
    <w:semiHidden/>
    <w:unhideWhenUsed/>
    <w:rsid w:val="00C851F0"/>
    <w:rPr>
      <w:color w:val="0000FF"/>
      <w:u w:val="single"/>
    </w:rPr>
  </w:style>
  <w:style w:type="character" w:styleId="Refdecomentario">
    <w:name w:val="annotation reference"/>
    <w:basedOn w:val="Fuentedeprrafopredeter"/>
    <w:uiPriority w:val="99"/>
    <w:semiHidden/>
    <w:unhideWhenUsed/>
    <w:rsid w:val="00626D17"/>
    <w:rPr>
      <w:sz w:val="16"/>
      <w:szCs w:val="16"/>
    </w:rPr>
  </w:style>
  <w:style w:type="paragraph" w:styleId="Textocomentario">
    <w:name w:val="annotation text"/>
    <w:basedOn w:val="Normal"/>
    <w:link w:val="TextocomentarioCar"/>
    <w:uiPriority w:val="99"/>
    <w:semiHidden/>
    <w:unhideWhenUsed/>
    <w:rsid w:val="00626D17"/>
    <w:rPr>
      <w:sz w:val="20"/>
      <w:szCs w:val="20"/>
    </w:rPr>
  </w:style>
  <w:style w:type="character" w:customStyle="1" w:styleId="TextocomentarioCar">
    <w:name w:val="Texto comentario Car"/>
    <w:basedOn w:val="Fuentedeprrafopredeter"/>
    <w:link w:val="Textocomentario"/>
    <w:uiPriority w:val="99"/>
    <w:semiHidden/>
    <w:rsid w:val="00626D17"/>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626D17"/>
    <w:rPr>
      <w:b/>
      <w:bCs/>
    </w:rPr>
  </w:style>
  <w:style w:type="character" w:customStyle="1" w:styleId="AsuntodelcomentarioCar">
    <w:name w:val="Asunto del comentario Car"/>
    <w:basedOn w:val="TextocomentarioCar"/>
    <w:link w:val="Asuntodelcomentario"/>
    <w:uiPriority w:val="99"/>
    <w:semiHidden/>
    <w:rsid w:val="00626D17"/>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91"/>
    <w:pPr>
      <w:spacing w:line="240" w:lineRule="auto"/>
      <w:jc w:val="both"/>
    </w:pPr>
    <w:rPr>
      <w:rFonts w:ascii="Arial" w:hAnsi="Arial"/>
    </w:rPr>
  </w:style>
  <w:style w:type="paragraph" w:styleId="Ttulo1">
    <w:name w:val="heading 1"/>
    <w:basedOn w:val="Normal"/>
    <w:next w:val="Normal"/>
    <w:link w:val="Ttulo1Car"/>
    <w:uiPriority w:val="9"/>
    <w:qFormat/>
    <w:rsid w:val="00F94B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45D73"/>
    <w:pPr>
      <w:keepNext/>
      <w:keepLines/>
      <w:spacing w:before="200" w:after="0"/>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iPriority w:val="9"/>
    <w:unhideWhenUsed/>
    <w:qFormat/>
    <w:rsid w:val="007C76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4B11"/>
    <w:pPr>
      <w:tabs>
        <w:tab w:val="center" w:pos="4252"/>
        <w:tab w:val="right" w:pos="8504"/>
      </w:tabs>
      <w:spacing w:after="0"/>
    </w:pPr>
  </w:style>
  <w:style w:type="character" w:customStyle="1" w:styleId="EncabezadoCar">
    <w:name w:val="Encabezado Car"/>
    <w:basedOn w:val="Fuentedeprrafopredeter"/>
    <w:link w:val="Encabezado"/>
    <w:uiPriority w:val="99"/>
    <w:rsid w:val="00F94B11"/>
  </w:style>
  <w:style w:type="paragraph" w:styleId="Piedepgina">
    <w:name w:val="footer"/>
    <w:basedOn w:val="Normal"/>
    <w:link w:val="PiedepginaCar"/>
    <w:uiPriority w:val="99"/>
    <w:unhideWhenUsed/>
    <w:rsid w:val="00F94B11"/>
    <w:pPr>
      <w:tabs>
        <w:tab w:val="center" w:pos="4252"/>
        <w:tab w:val="right" w:pos="8504"/>
      </w:tabs>
      <w:spacing w:after="0"/>
    </w:pPr>
  </w:style>
  <w:style w:type="character" w:customStyle="1" w:styleId="PiedepginaCar">
    <w:name w:val="Pie de página Car"/>
    <w:basedOn w:val="Fuentedeprrafopredeter"/>
    <w:link w:val="Piedepgina"/>
    <w:uiPriority w:val="99"/>
    <w:rsid w:val="00F94B11"/>
  </w:style>
  <w:style w:type="character" w:customStyle="1" w:styleId="Ttulo1Car">
    <w:name w:val="Título 1 Car"/>
    <w:basedOn w:val="Fuentedeprrafopredeter"/>
    <w:link w:val="Ttulo1"/>
    <w:uiPriority w:val="9"/>
    <w:rsid w:val="00F94B1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45D73"/>
    <w:rPr>
      <w:rFonts w:ascii="Arial" w:eastAsiaTheme="majorEastAsia" w:hAnsi="Arial" w:cstheme="majorBidi"/>
      <w:b/>
      <w:bCs/>
      <w:color w:val="4F81BD" w:themeColor="accent1"/>
      <w:sz w:val="26"/>
      <w:szCs w:val="26"/>
    </w:rPr>
  </w:style>
  <w:style w:type="paragraph" w:styleId="Textodeglobo">
    <w:name w:val="Balloon Text"/>
    <w:basedOn w:val="Normal"/>
    <w:link w:val="TextodegloboCar"/>
    <w:uiPriority w:val="99"/>
    <w:semiHidden/>
    <w:unhideWhenUsed/>
    <w:rsid w:val="0014728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7284"/>
    <w:rPr>
      <w:rFonts w:ascii="Tahoma" w:hAnsi="Tahoma" w:cs="Tahoma"/>
      <w:sz w:val="16"/>
      <w:szCs w:val="16"/>
    </w:rPr>
  </w:style>
  <w:style w:type="paragraph" w:styleId="Textonotapie">
    <w:name w:val="footnote text"/>
    <w:basedOn w:val="Normal"/>
    <w:link w:val="TextonotapieCar"/>
    <w:uiPriority w:val="99"/>
    <w:unhideWhenUsed/>
    <w:rsid w:val="00932112"/>
    <w:pPr>
      <w:spacing w:after="0"/>
    </w:pPr>
    <w:rPr>
      <w:sz w:val="20"/>
      <w:szCs w:val="20"/>
    </w:rPr>
  </w:style>
  <w:style w:type="character" w:customStyle="1" w:styleId="TextonotapieCar">
    <w:name w:val="Texto nota pie Car"/>
    <w:basedOn w:val="Fuentedeprrafopredeter"/>
    <w:link w:val="Textonotapie"/>
    <w:uiPriority w:val="99"/>
    <w:rsid w:val="00932112"/>
    <w:rPr>
      <w:sz w:val="20"/>
      <w:szCs w:val="20"/>
    </w:rPr>
  </w:style>
  <w:style w:type="character" w:styleId="Refdenotaalpie">
    <w:name w:val="footnote reference"/>
    <w:basedOn w:val="Fuentedeprrafopredeter"/>
    <w:uiPriority w:val="99"/>
    <w:semiHidden/>
    <w:unhideWhenUsed/>
    <w:rsid w:val="00932112"/>
    <w:rPr>
      <w:vertAlign w:val="superscript"/>
    </w:rPr>
  </w:style>
  <w:style w:type="character" w:customStyle="1" w:styleId="Ttulo3Car">
    <w:name w:val="Título 3 Car"/>
    <w:basedOn w:val="Fuentedeprrafopredeter"/>
    <w:link w:val="Ttulo3"/>
    <w:uiPriority w:val="9"/>
    <w:rsid w:val="007C769B"/>
    <w:rPr>
      <w:rFonts w:asciiTheme="majorHAnsi" w:eastAsiaTheme="majorEastAsia" w:hAnsiTheme="majorHAnsi" w:cstheme="majorBidi"/>
      <w:b/>
      <w:bCs/>
      <w:color w:val="4F81BD" w:themeColor="accent1"/>
    </w:rPr>
  </w:style>
  <w:style w:type="character" w:styleId="Nmerodepgina">
    <w:name w:val="page number"/>
    <w:basedOn w:val="Fuentedeprrafopredeter"/>
    <w:uiPriority w:val="99"/>
    <w:semiHidden/>
    <w:unhideWhenUsed/>
    <w:rsid w:val="00AB1AA6"/>
  </w:style>
  <w:style w:type="paragraph" w:styleId="Textoindependiente">
    <w:name w:val="Body Text"/>
    <w:basedOn w:val="Normal"/>
    <w:link w:val="TextoindependienteCar"/>
    <w:rsid w:val="00B45D73"/>
    <w:pPr>
      <w:spacing w:before="120" w:after="120"/>
    </w:pPr>
    <w:rPr>
      <w:rFonts w:ascii="Times New Roman" w:eastAsia="Times New Roman" w:hAnsi="Times New Roman" w:cs="Times New Roman"/>
      <w:szCs w:val="24"/>
      <w:lang w:eastAsia="es-ES"/>
    </w:rPr>
  </w:style>
  <w:style w:type="character" w:customStyle="1" w:styleId="TextoindependienteCar">
    <w:name w:val="Texto independiente Car"/>
    <w:basedOn w:val="Fuentedeprrafopredeter"/>
    <w:link w:val="Textoindependiente"/>
    <w:rsid w:val="00B45D73"/>
    <w:rPr>
      <w:rFonts w:ascii="Times New Roman" w:eastAsia="Times New Roman" w:hAnsi="Times New Roman" w:cs="Times New Roman"/>
      <w:szCs w:val="24"/>
      <w:lang w:eastAsia="es-ES"/>
    </w:rPr>
  </w:style>
  <w:style w:type="character" w:styleId="Hipervnculo">
    <w:name w:val="Hyperlink"/>
    <w:uiPriority w:val="99"/>
    <w:semiHidden/>
    <w:unhideWhenUsed/>
    <w:rsid w:val="00C851F0"/>
    <w:rPr>
      <w:color w:val="0000FF"/>
      <w:u w:val="single"/>
    </w:rPr>
  </w:style>
  <w:style w:type="character" w:styleId="Refdecomentario">
    <w:name w:val="annotation reference"/>
    <w:basedOn w:val="Fuentedeprrafopredeter"/>
    <w:uiPriority w:val="99"/>
    <w:semiHidden/>
    <w:unhideWhenUsed/>
    <w:rsid w:val="00626D17"/>
    <w:rPr>
      <w:sz w:val="16"/>
      <w:szCs w:val="16"/>
    </w:rPr>
  </w:style>
  <w:style w:type="paragraph" w:styleId="Textocomentario">
    <w:name w:val="annotation text"/>
    <w:basedOn w:val="Normal"/>
    <w:link w:val="TextocomentarioCar"/>
    <w:uiPriority w:val="99"/>
    <w:semiHidden/>
    <w:unhideWhenUsed/>
    <w:rsid w:val="00626D17"/>
    <w:rPr>
      <w:sz w:val="20"/>
      <w:szCs w:val="20"/>
    </w:rPr>
  </w:style>
  <w:style w:type="character" w:customStyle="1" w:styleId="TextocomentarioCar">
    <w:name w:val="Texto comentario Car"/>
    <w:basedOn w:val="Fuentedeprrafopredeter"/>
    <w:link w:val="Textocomentario"/>
    <w:uiPriority w:val="99"/>
    <w:semiHidden/>
    <w:rsid w:val="00626D17"/>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626D17"/>
    <w:rPr>
      <w:b/>
      <w:bCs/>
    </w:rPr>
  </w:style>
  <w:style w:type="character" w:customStyle="1" w:styleId="AsuntodelcomentarioCar">
    <w:name w:val="Asunto del comentario Car"/>
    <w:basedOn w:val="TextocomentarioCar"/>
    <w:link w:val="Asuntodelcomentario"/>
    <w:uiPriority w:val="99"/>
    <w:semiHidden/>
    <w:rsid w:val="00626D1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72171">
      <w:bodyDiv w:val="1"/>
      <w:marLeft w:val="0"/>
      <w:marRight w:val="0"/>
      <w:marTop w:val="0"/>
      <w:marBottom w:val="0"/>
      <w:divBdr>
        <w:top w:val="none" w:sz="0" w:space="0" w:color="auto"/>
        <w:left w:val="none" w:sz="0" w:space="0" w:color="auto"/>
        <w:bottom w:val="none" w:sz="0" w:space="0" w:color="auto"/>
        <w:right w:val="none" w:sz="0" w:space="0" w:color="auto"/>
      </w:divBdr>
    </w:div>
    <w:div w:id="123053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gro-alimentarias.coop/ficheros/doc/0400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076FE-2036-4F0A-8D10-8EEA0123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3181</Words>
  <Characters>17496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sazgil</cp:lastModifiedBy>
  <cp:revision>2</cp:revision>
  <cp:lastPrinted>2014-04-29T20:27:00Z</cp:lastPrinted>
  <dcterms:created xsi:type="dcterms:W3CDTF">2014-05-02T18:42:00Z</dcterms:created>
  <dcterms:modified xsi:type="dcterms:W3CDTF">2014-05-02T18:42:00Z</dcterms:modified>
</cp:coreProperties>
</file>