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44B" w:rsidRPr="006F21AF" w:rsidRDefault="0086144B" w:rsidP="00FB4770">
      <w:pPr>
        <w:jc w:val="center"/>
        <w:rPr>
          <w:rFonts w:ascii="Arial" w:hAnsi="Arial" w:cs="Arial"/>
          <w:b/>
          <w:sz w:val="28"/>
        </w:rPr>
      </w:pPr>
      <w:r w:rsidRPr="006F21AF">
        <w:rPr>
          <w:rFonts w:ascii="Arial" w:hAnsi="Arial" w:cs="Arial"/>
          <w:b/>
          <w:sz w:val="28"/>
        </w:rPr>
        <w:t xml:space="preserve">Empleo y modelo cooperativo: </w:t>
      </w:r>
    </w:p>
    <w:p w:rsidR="00DE329D" w:rsidRPr="006F21AF" w:rsidRDefault="0086144B" w:rsidP="00FB4770">
      <w:pPr>
        <w:jc w:val="center"/>
        <w:rPr>
          <w:rFonts w:ascii="Arial" w:hAnsi="Arial" w:cs="Arial"/>
          <w:b/>
          <w:sz w:val="28"/>
        </w:rPr>
      </w:pPr>
      <w:proofErr w:type="gramStart"/>
      <w:r w:rsidRPr="006F21AF">
        <w:rPr>
          <w:rFonts w:ascii="Arial" w:hAnsi="Arial" w:cs="Arial"/>
          <w:b/>
          <w:sz w:val="28"/>
        </w:rPr>
        <w:t>una</w:t>
      </w:r>
      <w:proofErr w:type="gramEnd"/>
      <w:r w:rsidRPr="006F21AF">
        <w:rPr>
          <w:rFonts w:ascii="Arial" w:hAnsi="Arial" w:cs="Arial"/>
          <w:b/>
          <w:sz w:val="28"/>
        </w:rPr>
        <w:t xml:space="preserve"> evidencia en tiempos de crisis</w:t>
      </w:r>
    </w:p>
    <w:p w:rsidR="00DE329D" w:rsidRPr="006F21AF" w:rsidRDefault="00DE329D">
      <w:pPr>
        <w:rPr>
          <w:rFonts w:ascii="Arial" w:hAnsi="Arial" w:cs="Arial"/>
        </w:rPr>
      </w:pPr>
    </w:p>
    <w:p w:rsidR="003339CC" w:rsidRDefault="003339CC" w:rsidP="00DE329D">
      <w:pPr>
        <w:jc w:val="center"/>
        <w:rPr>
          <w:rFonts w:ascii="Arial" w:hAnsi="Arial" w:cs="Arial"/>
          <w:sz w:val="20"/>
        </w:rPr>
      </w:pPr>
    </w:p>
    <w:p w:rsidR="00AF23D6" w:rsidRDefault="00AF23D6"/>
    <w:p w:rsidR="00AF23D6" w:rsidRDefault="00AF23D6"/>
    <w:p w:rsidR="00AF23D6" w:rsidRPr="006F21AF" w:rsidRDefault="00340792" w:rsidP="00340792">
      <w:pPr>
        <w:pStyle w:val="Prrafodelista"/>
        <w:numPr>
          <w:ilvl w:val="0"/>
          <w:numId w:val="2"/>
        </w:numPr>
        <w:rPr>
          <w:rFonts w:ascii="Arial" w:hAnsi="Arial" w:cs="Arial"/>
          <w:b/>
          <w:sz w:val="22"/>
        </w:rPr>
      </w:pPr>
      <w:r w:rsidRPr="006F21AF">
        <w:rPr>
          <w:rFonts w:ascii="Arial" w:hAnsi="Arial" w:cs="Arial"/>
          <w:b/>
          <w:sz w:val="22"/>
        </w:rPr>
        <w:t>Introducción y objetivos</w:t>
      </w:r>
    </w:p>
    <w:p w:rsidR="00940454" w:rsidRPr="006F21AF" w:rsidRDefault="00940454" w:rsidP="00940454">
      <w:pPr>
        <w:pStyle w:val="Prrafodelista"/>
        <w:rPr>
          <w:rFonts w:ascii="Arial" w:hAnsi="Arial" w:cs="Arial"/>
          <w:sz w:val="22"/>
        </w:rPr>
      </w:pPr>
    </w:p>
    <w:p w:rsidR="00756C68" w:rsidRPr="006F21AF" w:rsidRDefault="00AF23D6" w:rsidP="00756C68">
      <w:pPr>
        <w:jc w:val="both"/>
        <w:rPr>
          <w:rFonts w:ascii="Arial" w:hAnsi="Arial" w:cs="Arial"/>
          <w:sz w:val="22"/>
        </w:rPr>
      </w:pPr>
      <w:r w:rsidRPr="006F21AF">
        <w:rPr>
          <w:rFonts w:ascii="Arial" w:hAnsi="Arial" w:cs="Arial"/>
          <w:sz w:val="22"/>
        </w:rPr>
        <w:t>La economía española está atravesando tiempos difíciles en los últimos años, múltiples indicadores (</w:t>
      </w:r>
      <w:r w:rsidR="00774F40" w:rsidRPr="006F21AF">
        <w:rPr>
          <w:rFonts w:ascii="Arial" w:hAnsi="Arial" w:cs="Arial"/>
          <w:sz w:val="22"/>
        </w:rPr>
        <w:t>déficit del Estado, coste de la deuda pública, evolución del PIB, número</w:t>
      </w:r>
      <w:r w:rsidRPr="006F21AF">
        <w:rPr>
          <w:rFonts w:ascii="Arial" w:hAnsi="Arial" w:cs="Arial"/>
          <w:sz w:val="22"/>
        </w:rPr>
        <w:t xml:space="preserve"> de trabajadores en activo, productividad, etc.) señalan </w:t>
      </w:r>
      <w:r w:rsidR="00DE329D" w:rsidRPr="006F21AF">
        <w:rPr>
          <w:rFonts w:ascii="Arial" w:hAnsi="Arial" w:cs="Arial"/>
          <w:sz w:val="22"/>
        </w:rPr>
        <w:t>el delicado momento en el</w:t>
      </w:r>
      <w:r w:rsidRPr="006F21AF">
        <w:rPr>
          <w:rFonts w:ascii="Arial" w:hAnsi="Arial" w:cs="Arial"/>
          <w:sz w:val="22"/>
        </w:rPr>
        <w:t xml:space="preserve"> que estamos inmersos. </w:t>
      </w:r>
      <w:r w:rsidR="00DE329D" w:rsidRPr="006F21AF">
        <w:rPr>
          <w:rFonts w:ascii="Arial" w:hAnsi="Arial" w:cs="Arial"/>
          <w:sz w:val="22"/>
        </w:rPr>
        <w:t xml:space="preserve">Se trata de una crisis global, que afecta a todos los sectores productivos y estamentos, sin embargo las diferencias que se establecen entre las diferentes formas jurídicas tanto a nivel de gestión como de desarrollo </w:t>
      </w:r>
      <w:r w:rsidR="00A04E91" w:rsidRPr="006F21AF">
        <w:rPr>
          <w:rFonts w:ascii="Arial" w:hAnsi="Arial" w:cs="Arial"/>
          <w:sz w:val="22"/>
        </w:rPr>
        <w:t xml:space="preserve">derivado </w:t>
      </w:r>
      <w:r w:rsidR="00DE329D" w:rsidRPr="006F21AF">
        <w:rPr>
          <w:rFonts w:ascii="Arial" w:hAnsi="Arial" w:cs="Arial"/>
          <w:sz w:val="22"/>
        </w:rPr>
        <w:t xml:space="preserve">de su regulación y mentalidad empresarial, conducen también a diferentes reacciones y evoluciones en la coyuntura actual. </w:t>
      </w:r>
      <w:r w:rsidR="00756C68" w:rsidRPr="006F21AF">
        <w:rPr>
          <w:rFonts w:ascii="Arial" w:hAnsi="Arial" w:cs="Arial"/>
          <w:sz w:val="22"/>
        </w:rPr>
        <w:t xml:space="preserve">Es por ello que se hace necesario llevar a cabo un análisis crítico de la situación que permita arrojar luz sobre los procesos que se están desarrollando en nuestro tejido económico y empresarial y </w:t>
      </w:r>
      <w:r w:rsidR="00940454" w:rsidRPr="006F21AF">
        <w:rPr>
          <w:rFonts w:ascii="Arial" w:hAnsi="Arial" w:cs="Arial"/>
          <w:sz w:val="22"/>
        </w:rPr>
        <w:t>de esta forma</w:t>
      </w:r>
      <w:r w:rsidR="00756C68" w:rsidRPr="006F21AF">
        <w:rPr>
          <w:rFonts w:ascii="Arial" w:hAnsi="Arial" w:cs="Arial"/>
          <w:sz w:val="22"/>
        </w:rPr>
        <w:t xml:space="preserve"> poder establecer líneas directrices para su mejora</w:t>
      </w:r>
      <w:r w:rsidR="00DE329D" w:rsidRPr="006F21AF">
        <w:rPr>
          <w:rFonts w:ascii="Arial" w:hAnsi="Arial" w:cs="Arial"/>
          <w:sz w:val="22"/>
        </w:rPr>
        <w:t>, diferenciando en base a la forma jurídica</w:t>
      </w:r>
      <w:r w:rsidR="00756C68" w:rsidRPr="006F21AF">
        <w:rPr>
          <w:rFonts w:ascii="Arial" w:hAnsi="Arial" w:cs="Arial"/>
          <w:sz w:val="22"/>
        </w:rPr>
        <w:t>.</w:t>
      </w:r>
    </w:p>
    <w:p w:rsidR="00756C68" w:rsidRPr="006F21AF" w:rsidRDefault="00756C68" w:rsidP="00756C68">
      <w:pPr>
        <w:jc w:val="both"/>
        <w:rPr>
          <w:rFonts w:ascii="Arial" w:hAnsi="Arial" w:cs="Arial"/>
          <w:sz w:val="22"/>
        </w:rPr>
      </w:pPr>
    </w:p>
    <w:p w:rsidR="00756C68" w:rsidRPr="006F21AF" w:rsidRDefault="00756C68" w:rsidP="00756C68">
      <w:pPr>
        <w:jc w:val="both"/>
        <w:rPr>
          <w:rFonts w:ascii="Arial" w:hAnsi="Arial" w:cs="Arial"/>
          <w:sz w:val="22"/>
        </w:rPr>
      </w:pPr>
      <w:r w:rsidRPr="006F21AF">
        <w:rPr>
          <w:rFonts w:ascii="Arial" w:hAnsi="Arial" w:cs="Arial"/>
          <w:sz w:val="22"/>
        </w:rPr>
        <w:t xml:space="preserve">En la literatura se ha sostenido tradicionalmente que las empresas pertenecientes a la Economía Social presentan una mayor inercia en cuestiones de empleo, autores como Elio (2012) o </w:t>
      </w:r>
      <w:r w:rsidR="00A30434" w:rsidRPr="006F21AF">
        <w:rPr>
          <w:rFonts w:ascii="Arial" w:hAnsi="Arial" w:cs="Arial"/>
          <w:sz w:val="22"/>
        </w:rPr>
        <w:t>García Jiménez (2001)</w:t>
      </w:r>
      <w:r w:rsidRPr="006F21AF">
        <w:rPr>
          <w:rFonts w:ascii="Arial" w:hAnsi="Arial" w:cs="Arial"/>
          <w:sz w:val="22"/>
        </w:rPr>
        <w:t xml:space="preserve"> afirman que las cooperativas </w:t>
      </w:r>
      <w:r w:rsidR="0003163A" w:rsidRPr="006F21AF">
        <w:rPr>
          <w:rFonts w:ascii="Arial" w:hAnsi="Arial" w:cs="Arial"/>
          <w:sz w:val="22"/>
        </w:rPr>
        <w:t>constituyen</w:t>
      </w:r>
      <w:r w:rsidRPr="006F21AF">
        <w:rPr>
          <w:rFonts w:ascii="Arial" w:hAnsi="Arial" w:cs="Arial"/>
          <w:sz w:val="22"/>
        </w:rPr>
        <w:t xml:space="preserve"> un </w:t>
      </w:r>
      <w:r w:rsidR="0003163A" w:rsidRPr="006F21AF">
        <w:rPr>
          <w:rFonts w:ascii="Arial" w:hAnsi="Arial" w:cs="Arial"/>
          <w:sz w:val="22"/>
        </w:rPr>
        <w:t>motor de creación de empleo y una vía inicial para el emprendimiento.</w:t>
      </w:r>
      <w:r w:rsidRPr="006F21AF">
        <w:rPr>
          <w:rFonts w:ascii="Arial" w:hAnsi="Arial" w:cs="Arial"/>
          <w:sz w:val="22"/>
        </w:rPr>
        <w:t xml:space="preserve"> De acuerdo con </w:t>
      </w:r>
      <w:r w:rsidR="00AD4B27" w:rsidRPr="006F21AF">
        <w:rPr>
          <w:rFonts w:ascii="Arial" w:hAnsi="Arial" w:cs="Arial"/>
          <w:sz w:val="22"/>
        </w:rPr>
        <w:t xml:space="preserve">diversos autores (Díaz y </w:t>
      </w:r>
      <w:proofErr w:type="spellStart"/>
      <w:r w:rsidR="00AD4B27" w:rsidRPr="006F21AF">
        <w:rPr>
          <w:rFonts w:ascii="Arial" w:hAnsi="Arial" w:cs="Arial"/>
          <w:sz w:val="22"/>
        </w:rPr>
        <w:t>Marcuello</w:t>
      </w:r>
      <w:proofErr w:type="spellEnd"/>
      <w:r w:rsidR="00AD4B27" w:rsidRPr="006F21AF">
        <w:rPr>
          <w:rFonts w:ascii="Arial" w:hAnsi="Arial" w:cs="Arial"/>
          <w:sz w:val="22"/>
        </w:rPr>
        <w:t>, 2010; Calderón y Calderón, 2012 entre otros)</w:t>
      </w:r>
      <w:r w:rsidRPr="006F21AF">
        <w:rPr>
          <w:rFonts w:ascii="Arial" w:hAnsi="Arial" w:cs="Arial"/>
          <w:sz w:val="22"/>
        </w:rPr>
        <w:t xml:space="preserve"> existen evidencias de que la destrucción de empleo es menor en entidades cooperativas en comparación con aquellas de tipo capitalista.</w:t>
      </w:r>
      <w:r w:rsidR="00DE329D" w:rsidRPr="006F21AF">
        <w:rPr>
          <w:rFonts w:ascii="Arial" w:hAnsi="Arial" w:cs="Arial"/>
          <w:sz w:val="22"/>
        </w:rPr>
        <w:t xml:space="preserve"> La teoría sostiene que la mayor vinculación del cooperativista con la entidad, así como sus características distintivas en relación a la gestión, permite a esta forma jurídica mantener una mayor resistencia a la pérdida de puestos de trabajo.</w:t>
      </w:r>
    </w:p>
    <w:p w:rsidR="00756C68" w:rsidRPr="006F21AF" w:rsidRDefault="00756C68" w:rsidP="00756C68">
      <w:pPr>
        <w:jc w:val="both"/>
        <w:rPr>
          <w:rFonts w:ascii="Arial" w:hAnsi="Arial" w:cs="Arial"/>
          <w:sz w:val="22"/>
        </w:rPr>
      </w:pPr>
    </w:p>
    <w:p w:rsidR="00AF23D6" w:rsidRPr="006F21AF" w:rsidRDefault="00AF23D6" w:rsidP="00756C68">
      <w:pPr>
        <w:jc w:val="both"/>
        <w:rPr>
          <w:rFonts w:ascii="Arial" w:hAnsi="Arial" w:cs="Arial"/>
          <w:sz w:val="22"/>
        </w:rPr>
      </w:pPr>
      <w:r w:rsidRPr="006F21AF">
        <w:rPr>
          <w:rFonts w:ascii="Arial" w:hAnsi="Arial" w:cs="Arial"/>
          <w:sz w:val="22"/>
        </w:rPr>
        <w:t xml:space="preserve">El objetivo de este trabajo es </w:t>
      </w:r>
      <w:r w:rsidR="00DE329D" w:rsidRPr="006F21AF">
        <w:rPr>
          <w:rFonts w:ascii="Arial" w:hAnsi="Arial" w:cs="Arial"/>
          <w:sz w:val="22"/>
        </w:rPr>
        <w:t>contrastar dich</w:t>
      </w:r>
      <w:r w:rsidRPr="006F21AF">
        <w:rPr>
          <w:rFonts w:ascii="Arial" w:hAnsi="Arial" w:cs="Arial"/>
          <w:sz w:val="22"/>
        </w:rPr>
        <w:t>a</w:t>
      </w:r>
      <w:r w:rsidR="00DE329D" w:rsidRPr="006F21AF">
        <w:rPr>
          <w:rFonts w:ascii="Arial" w:hAnsi="Arial" w:cs="Arial"/>
          <w:sz w:val="22"/>
        </w:rPr>
        <w:t>s teorías a</w:t>
      </w:r>
      <w:r w:rsidRPr="006F21AF">
        <w:rPr>
          <w:rFonts w:ascii="Arial" w:hAnsi="Arial" w:cs="Arial"/>
          <w:sz w:val="22"/>
        </w:rPr>
        <w:t>naliza</w:t>
      </w:r>
      <w:r w:rsidR="00DE329D" w:rsidRPr="006F21AF">
        <w:rPr>
          <w:rFonts w:ascii="Arial" w:hAnsi="Arial" w:cs="Arial"/>
          <w:sz w:val="22"/>
        </w:rPr>
        <w:t>ndo</w:t>
      </w:r>
      <w:r w:rsidRPr="006F21AF">
        <w:rPr>
          <w:rFonts w:ascii="Arial" w:hAnsi="Arial" w:cs="Arial"/>
          <w:sz w:val="22"/>
        </w:rPr>
        <w:t xml:space="preserve"> la evolución </w:t>
      </w:r>
      <w:r w:rsidR="00961381" w:rsidRPr="006F21AF">
        <w:rPr>
          <w:rFonts w:ascii="Arial" w:hAnsi="Arial" w:cs="Arial"/>
          <w:sz w:val="22"/>
        </w:rPr>
        <w:t>del número de empresas así como el empleo en las mismas,</w:t>
      </w:r>
      <w:r w:rsidRPr="006F21AF">
        <w:rPr>
          <w:rFonts w:ascii="Arial" w:hAnsi="Arial" w:cs="Arial"/>
          <w:sz w:val="22"/>
        </w:rPr>
        <w:t xml:space="preserve"> en términos de trabajadores afiliados a la Seguridad Social, en los últimos cuatro años (2008-2012), con el objetivo de determinar si existen diferencias en los comportamientos experimentados en función de la forma jurídica adoptada y a partir de este análisis, </w:t>
      </w:r>
      <w:r w:rsidR="0003163A" w:rsidRPr="006F21AF">
        <w:rPr>
          <w:rFonts w:ascii="Arial" w:hAnsi="Arial" w:cs="Arial"/>
          <w:sz w:val="22"/>
        </w:rPr>
        <w:t>apuntar la posible</w:t>
      </w:r>
      <w:r w:rsidRPr="006F21AF">
        <w:rPr>
          <w:rFonts w:ascii="Arial" w:hAnsi="Arial" w:cs="Arial"/>
          <w:sz w:val="22"/>
        </w:rPr>
        <w:t xml:space="preserve"> naturaleza de estas diferencias.</w:t>
      </w:r>
    </w:p>
    <w:p w:rsidR="00AF23D6" w:rsidRPr="006F21AF" w:rsidRDefault="00AF23D6">
      <w:pPr>
        <w:rPr>
          <w:rFonts w:ascii="Arial" w:hAnsi="Arial" w:cs="Arial"/>
          <w:sz w:val="22"/>
        </w:rPr>
      </w:pPr>
    </w:p>
    <w:p w:rsidR="00340792" w:rsidRPr="006F21AF" w:rsidRDefault="00340792" w:rsidP="00340792">
      <w:pPr>
        <w:pStyle w:val="Prrafodelista"/>
        <w:numPr>
          <w:ilvl w:val="0"/>
          <w:numId w:val="2"/>
        </w:numPr>
        <w:rPr>
          <w:rFonts w:ascii="Arial" w:hAnsi="Arial" w:cs="Arial"/>
          <w:b/>
          <w:sz w:val="22"/>
        </w:rPr>
      </w:pPr>
      <w:r w:rsidRPr="006F21AF">
        <w:rPr>
          <w:rFonts w:ascii="Arial" w:hAnsi="Arial" w:cs="Arial"/>
          <w:b/>
          <w:sz w:val="22"/>
        </w:rPr>
        <w:t>Evolución del número de empresas según su forma jurídica</w:t>
      </w:r>
    </w:p>
    <w:p w:rsidR="00340792" w:rsidRPr="006F21AF" w:rsidRDefault="00340792">
      <w:pPr>
        <w:rPr>
          <w:rFonts w:ascii="Arial" w:hAnsi="Arial" w:cs="Arial"/>
          <w:sz w:val="22"/>
        </w:rPr>
      </w:pPr>
    </w:p>
    <w:p w:rsidR="006637EC" w:rsidRPr="006F21AF" w:rsidRDefault="00CB6A89" w:rsidP="001A1A93">
      <w:pPr>
        <w:jc w:val="both"/>
        <w:rPr>
          <w:rFonts w:ascii="Arial" w:hAnsi="Arial" w:cs="Arial"/>
          <w:sz w:val="22"/>
        </w:rPr>
      </w:pPr>
      <w:r w:rsidRPr="006F21AF">
        <w:rPr>
          <w:rFonts w:ascii="Arial" w:hAnsi="Arial" w:cs="Arial"/>
          <w:sz w:val="22"/>
        </w:rPr>
        <w:t>A 1 de enero de 2012, s</w:t>
      </w:r>
      <w:r w:rsidR="001A1A93" w:rsidRPr="006F21AF">
        <w:rPr>
          <w:rFonts w:ascii="Arial" w:hAnsi="Arial" w:cs="Arial"/>
          <w:sz w:val="22"/>
        </w:rPr>
        <w:t xml:space="preserve">egún </w:t>
      </w:r>
      <w:r w:rsidR="0050617A" w:rsidRPr="006F21AF">
        <w:rPr>
          <w:rFonts w:ascii="Arial" w:hAnsi="Arial" w:cs="Arial"/>
          <w:sz w:val="22"/>
        </w:rPr>
        <w:t xml:space="preserve">el Instituto Nacional de Estadística, existían en España 3.199.617 empresas, de las cuales aproximadamente un 51% </w:t>
      </w:r>
      <w:r w:rsidR="006637EC" w:rsidRPr="006F21AF">
        <w:rPr>
          <w:rFonts w:ascii="Arial" w:hAnsi="Arial" w:cs="Arial"/>
          <w:sz w:val="22"/>
        </w:rPr>
        <w:t>era</w:t>
      </w:r>
      <w:r w:rsidR="0050617A" w:rsidRPr="006F21AF">
        <w:rPr>
          <w:rFonts w:ascii="Arial" w:hAnsi="Arial" w:cs="Arial"/>
          <w:sz w:val="22"/>
        </w:rPr>
        <w:t>n personas físicas</w:t>
      </w:r>
      <w:r w:rsidR="00940454" w:rsidRPr="006F21AF">
        <w:rPr>
          <w:rFonts w:ascii="Arial" w:hAnsi="Arial" w:cs="Arial"/>
          <w:sz w:val="22"/>
        </w:rPr>
        <w:t xml:space="preserve"> (autónomos)</w:t>
      </w:r>
      <w:r w:rsidR="0050617A" w:rsidRPr="006F21AF">
        <w:rPr>
          <w:rFonts w:ascii="Arial" w:hAnsi="Arial" w:cs="Arial"/>
          <w:sz w:val="22"/>
        </w:rPr>
        <w:t>. Centrándonos en las formas mercantiles</w:t>
      </w:r>
      <w:r w:rsidR="006637EC" w:rsidRPr="006F21AF">
        <w:rPr>
          <w:rFonts w:ascii="Arial" w:hAnsi="Arial" w:cs="Arial"/>
          <w:sz w:val="22"/>
        </w:rPr>
        <w:t xml:space="preserve"> no personalistas el número de empresas asciende a 1.247.870, de las cuales el 90% son Sociedades de Responsabilidad Limitada, </w:t>
      </w:r>
      <w:r w:rsidR="003C55D0" w:rsidRPr="006F21AF">
        <w:rPr>
          <w:rFonts w:ascii="Arial" w:hAnsi="Arial" w:cs="Arial"/>
          <w:sz w:val="22"/>
        </w:rPr>
        <w:t>un 8,3</w:t>
      </w:r>
      <w:r w:rsidR="006637EC" w:rsidRPr="006F21AF">
        <w:rPr>
          <w:rFonts w:ascii="Arial" w:hAnsi="Arial" w:cs="Arial"/>
          <w:sz w:val="22"/>
        </w:rPr>
        <w:t xml:space="preserve">% Sociedades Anónimas y tan sólo el 1,7% son sociedades cooperativas. </w:t>
      </w:r>
      <w:r w:rsidR="0050617A" w:rsidRPr="006F21AF">
        <w:rPr>
          <w:rFonts w:ascii="Arial" w:hAnsi="Arial" w:cs="Arial"/>
          <w:sz w:val="22"/>
        </w:rPr>
        <w:t xml:space="preserve"> </w:t>
      </w:r>
    </w:p>
    <w:p w:rsidR="00433CAF" w:rsidRPr="006F21AF" w:rsidRDefault="00433CAF" w:rsidP="001A1A93">
      <w:pPr>
        <w:jc w:val="both"/>
        <w:rPr>
          <w:rFonts w:ascii="Arial" w:hAnsi="Arial" w:cs="Arial"/>
        </w:rPr>
      </w:pPr>
    </w:p>
    <w:p w:rsidR="008F3D70" w:rsidRPr="006F21AF" w:rsidRDefault="008F3D70" w:rsidP="008F3D70">
      <w:pPr>
        <w:jc w:val="both"/>
        <w:rPr>
          <w:rFonts w:ascii="Arial" w:hAnsi="Arial" w:cs="Arial"/>
          <w:sz w:val="22"/>
        </w:rPr>
      </w:pPr>
      <w:r w:rsidRPr="006F21AF">
        <w:rPr>
          <w:rFonts w:ascii="Arial" w:hAnsi="Arial" w:cs="Arial"/>
          <w:sz w:val="22"/>
        </w:rPr>
        <w:t>Si atendemos a la evolución del número de entidades desde el año 2000</w:t>
      </w:r>
      <w:r w:rsidR="00920764" w:rsidRPr="006F21AF">
        <w:rPr>
          <w:rFonts w:ascii="Arial" w:hAnsi="Arial" w:cs="Arial"/>
          <w:sz w:val="22"/>
        </w:rPr>
        <w:t xml:space="preserve"> (Figura 1)</w:t>
      </w:r>
      <w:r w:rsidRPr="006F21AF">
        <w:rPr>
          <w:rFonts w:ascii="Arial" w:hAnsi="Arial" w:cs="Arial"/>
          <w:sz w:val="22"/>
        </w:rPr>
        <w:t xml:space="preserve">, tomando como base dicho año a fin de evitar los problemas de escala y poder efectuar una comparación entre las principales formas jurídicas, se pone de manifiesto que durante la primera parte del periodo considerado, desde 2000 hasta 2008, se produjo un crecimiento sostenido y constante en el número de Sociedades de Responsabilidad Limitada y Comunidades de Bienes, y a un menor nivel de </w:t>
      </w:r>
      <w:r w:rsidRPr="006F21AF">
        <w:rPr>
          <w:rFonts w:ascii="Arial" w:hAnsi="Arial" w:cs="Arial"/>
          <w:sz w:val="22"/>
        </w:rPr>
        <w:lastRenderedPageBreak/>
        <w:t>crecimiento, también de personas físicas.. En las Sociedades Cooperativas se advierte una ligera tendencia creciente que alcanza su máximo en el año 2003 para a continuación descender hasta el momento actual. Las Sociedades Anónimas constituyen el único caso en el que el número de empresas ha descendido a lo largo de todo el periodo considerado.</w:t>
      </w:r>
    </w:p>
    <w:p w:rsidR="008F3D70" w:rsidRPr="006F21AF" w:rsidRDefault="008F3D70" w:rsidP="008F3D70">
      <w:pPr>
        <w:jc w:val="both"/>
        <w:rPr>
          <w:rFonts w:ascii="Arial" w:hAnsi="Arial" w:cs="Arial"/>
          <w:sz w:val="22"/>
        </w:rPr>
      </w:pPr>
    </w:p>
    <w:p w:rsidR="003C55D0" w:rsidRPr="006F21AF" w:rsidRDefault="003C55D0" w:rsidP="003C55D0">
      <w:pPr>
        <w:pStyle w:val="Epgrafe"/>
        <w:keepNext/>
        <w:jc w:val="center"/>
        <w:rPr>
          <w:rFonts w:ascii="Arial" w:hAnsi="Arial" w:cs="Arial"/>
          <w:color w:val="auto"/>
        </w:rPr>
      </w:pPr>
      <w:r w:rsidRPr="006F21AF">
        <w:rPr>
          <w:rFonts w:ascii="Arial" w:hAnsi="Arial" w:cs="Arial"/>
          <w:color w:val="auto"/>
        </w:rPr>
        <w:t xml:space="preserve">Figura  </w:t>
      </w:r>
      <w:r w:rsidR="00C160A7" w:rsidRPr="006F21AF">
        <w:rPr>
          <w:rFonts w:ascii="Arial" w:hAnsi="Arial" w:cs="Arial"/>
          <w:color w:val="auto"/>
        </w:rPr>
        <w:fldChar w:fldCharType="begin"/>
      </w:r>
      <w:r w:rsidRPr="006F21AF">
        <w:rPr>
          <w:rFonts w:ascii="Arial" w:hAnsi="Arial" w:cs="Arial"/>
          <w:color w:val="auto"/>
        </w:rPr>
        <w:instrText xml:space="preserve"> SEQ Figura_ \* ARABIC </w:instrText>
      </w:r>
      <w:r w:rsidR="00C160A7" w:rsidRPr="006F21AF">
        <w:rPr>
          <w:rFonts w:ascii="Arial" w:hAnsi="Arial" w:cs="Arial"/>
          <w:color w:val="auto"/>
        </w:rPr>
        <w:fldChar w:fldCharType="separate"/>
      </w:r>
      <w:r w:rsidR="00495D64">
        <w:rPr>
          <w:rFonts w:ascii="Arial" w:hAnsi="Arial" w:cs="Arial"/>
          <w:noProof/>
          <w:color w:val="auto"/>
        </w:rPr>
        <w:t>1</w:t>
      </w:r>
      <w:r w:rsidR="00C160A7" w:rsidRPr="006F21AF">
        <w:rPr>
          <w:rFonts w:ascii="Arial" w:hAnsi="Arial" w:cs="Arial"/>
          <w:color w:val="auto"/>
        </w:rPr>
        <w:fldChar w:fldCharType="end"/>
      </w:r>
      <w:r w:rsidRPr="006F21AF">
        <w:rPr>
          <w:rFonts w:ascii="Arial" w:hAnsi="Arial" w:cs="Arial"/>
          <w:color w:val="auto"/>
        </w:rPr>
        <w:t>: Evolución del número de empresas por forma jurídica</w:t>
      </w:r>
      <w:r w:rsidRPr="006F21AF">
        <w:rPr>
          <w:rFonts w:ascii="Arial" w:hAnsi="Arial" w:cs="Arial"/>
          <w:noProof/>
          <w:color w:val="auto"/>
        </w:rPr>
        <w:t xml:space="preserve">, 2000-2012 (año 2000=100). </w:t>
      </w:r>
      <w:r w:rsidR="00135771" w:rsidRPr="006F21AF">
        <w:rPr>
          <w:rFonts w:ascii="Arial" w:hAnsi="Arial" w:cs="Arial"/>
          <w:noProof/>
          <w:color w:val="auto"/>
        </w:rPr>
        <w:t xml:space="preserve">Fuente: </w:t>
      </w:r>
      <w:r w:rsidRPr="006F21AF">
        <w:rPr>
          <w:rFonts w:ascii="Arial" w:hAnsi="Arial" w:cs="Arial"/>
          <w:noProof/>
          <w:color w:val="auto"/>
        </w:rPr>
        <w:t>INE, 2012</w:t>
      </w:r>
    </w:p>
    <w:p w:rsidR="003C55D0" w:rsidRDefault="003C55D0" w:rsidP="001A1A93">
      <w:pPr>
        <w:jc w:val="both"/>
      </w:pPr>
      <w:r w:rsidRPr="003C55D0">
        <w:rPr>
          <w:noProof/>
          <w:lang w:val="es-ES" w:eastAsia="es-ES"/>
        </w:rPr>
        <w:drawing>
          <wp:inline distT="0" distB="0" distL="0" distR="0">
            <wp:extent cx="5270500" cy="1936333"/>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Start w:id="0" w:name="_GoBack"/>
      <w:bookmarkEnd w:id="0"/>
    </w:p>
    <w:p w:rsidR="003C55D0" w:rsidRDefault="003C55D0" w:rsidP="001A1A93">
      <w:pPr>
        <w:jc w:val="both"/>
      </w:pPr>
    </w:p>
    <w:p w:rsidR="00C5304C" w:rsidRPr="006F21AF" w:rsidRDefault="00C5304C" w:rsidP="001A1A93">
      <w:pPr>
        <w:jc w:val="both"/>
        <w:rPr>
          <w:rFonts w:ascii="Arial" w:hAnsi="Arial" w:cs="Arial"/>
          <w:sz w:val="22"/>
        </w:rPr>
      </w:pPr>
      <w:r w:rsidRPr="006F21AF">
        <w:rPr>
          <w:rFonts w:ascii="Arial" w:hAnsi="Arial" w:cs="Arial"/>
          <w:sz w:val="22"/>
        </w:rPr>
        <w:t>Centrando el análisis en el periodo 2008-2012</w:t>
      </w:r>
      <w:r w:rsidR="00BF6768" w:rsidRPr="006F21AF">
        <w:rPr>
          <w:rFonts w:ascii="Arial" w:hAnsi="Arial" w:cs="Arial"/>
          <w:sz w:val="22"/>
        </w:rPr>
        <w:t>, en el que el número de empresas decrece cualesquiera sea su forma jurídica, sí que es posible observar diferencias en la magnitud de la variación en su número</w:t>
      </w:r>
      <w:r w:rsidR="00A30843" w:rsidRPr="006F21AF">
        <w:rPr>
          <w:rFonts w:ascii="Arial" w:hAnsi="Arial" w:cs="Arial"/>
          <w:sz w:val="22"/>
        </w:rPr>
        <w:t xml:space="preserve">. Si bien debido a la limitación en el número de datos no es posible realizar un análisis </w:t>
      </w:r>
      <w:r w:rsidR="00920764" w:rsidRPr="006F21AF">
        <w:rPr>
          <w:rFonts w:ascii="Arial" w:hAnsi="Arial" w:cs="Arial"/>
          <w:sz w:val="22"/>
        </w:rPr>
        <w:t>estadístico de contraste</w:t>
      </w:r>
      <w:r w:rsidR="00BF6768" w:rsidRPr="006F21AF">
        <w:rPr>
          <w:rFonts w:ascii="Arial" w:hAnsi="Arial" w:cs="Arial"/>
          <w:sz w:val="22"/>
        </w:rPr>
        <w:t>, la aproximación a esta velocidad –variación de la variable por unidad de tiempo considerada- puede ser obtenida a través de la pendiente (</w:t>
      </w:r>
      <w:r w:rsidR="00BF6768" w:rsidRPr="006F21AF">
        <w:rPr>
          <w:rFonts w:ascii="Arial" w:hAnsi="Arial" w:cs="Arial"/>
          <w:i/>
          <w:sz w:val="22"/>
        </w:rPr>
        <w:t>m</w:t>
      </w:r>
      <w:r w:rsidR="00BF6768" w:rsidRPr="006F21AF">
        <w:rPr>
          <w:rFonts w:ascii="Arial" w:hAnsi="Arial" w:cs="Arial"/>
          <w:sz w:val="22"/>
        </w:rPr>
        <w:t xml:space="preserve">) de la recta de ajuste por mínimos cuadrados de la serie (Tabla 1). </w:t>
      </w:r>
    </w:p>
    <w:p w:rsidR="00C5304C" w:rsidRPr="006F21AF" w:rsidRDefault="00C5304C" w:rsidP="001A1A93">
      <w:pPr>
        <w:jc w:val="both"/>
        <w:rPr>
          <w:rFonts w:ascii="Arial" w:hAnsi="Arial" w:cs="Arial"/>
        </w:rPr>
      </w:pPr>
    </w:p>
    <w:p w:rsidR="009867D2" w:rsidRPr="006F21AF" w:rsidRDefault="009867D2" w:rsidP="001B6DDC">
      <w:pPr>
        <w:pStyle w:val="Epgrafe"/>
        <w:keepNext/>
        <w:jc w:val="center"/>
        <w:rPr>
          <w:rFonts w:ascii="Arial" w:hAnsi="Arial" w:cs="Arial"/>
          <w:color w:val="auto"/>
        </w:rPr>
      </w:pPr>
      <w:r w:rsidRPr="006F21AF">
        <w:rPr>
          <w:rFonts w:ascii="Arial" w:hAnsi="Arial" w:cs="Arial"/>
          <w:color w:val="auto"/>
        </w:rPr>
        <w:t xml:space="preserve">Tabla </w:t>
      </w:r>
      <w:r w:rsidR="00C160A7" w:rsidRPr="006F21AF">
        <w:rPr>
          <w:rFonts w:ascii="Arial" w:hAnsi="Arial" w:cs="Arial"/>
          <w:color w:val="auto"/>
        </w:rPr>
        <w:fldChar w:fldCharType="begin"/>
      </w:r>
      <w:r w:rsidRPr="006F21AF">
        <w:rPr>
          <w:rFonts w:ascii="Arial" w:hAnsi="Arial" w:cs="Arial"/>
          <w:color w:val="auto"/>
        </w:rPr>
        <w:instrText xml:space="preserve"> SEQ Tabla \* ARABIC </w:instrText>
      </w:r>
      <w:r w:rsidR="00C160A7" w:rsidRPr="006F21AF">
        <w:rPr>
          <w:rFonts w:ascii="Arial" w:hAnsi="Arial" w:cs="Arial"/>
          <w:color w:val="auto"/>
        </w:rPr>
        <w:fldChar w:fldCharType="separate"/>
      </w:r>
      <w:r w:rsidR="00495D64">
        <w:rPr>
          <w:rFonts w:ascii="Arial" w:hAnsi="Arial" w:cs="Arial"/>
          <w:noProof/>
          <w:color w:val="auto"/>
        </w:rPr>
        <w:t>1</w:t>
      </w:r>
      <w:r w:rsidR="00C160A7" w:rsidRPr="006F21AF">
        <w:rPr>
          <w:rFonts w:ascii="Arial" w:hAnsi="Arial" w:cs="Arial"/>
          <w:color w:val="auto"/>
        </w:rPr>
        <w:fldChar w:fldCharType="end"/>
      </w:r>
      <w:r w:rsidRPr="006F21AF">
        <w:rPr>
          <w:rFonts w:ascii="Arial" w:hAnsi="Arial" w:cs="Arial"/>
          <w:color w:val="auto"/>
        </w:rPr>
        <w:t>: Ajuste por mínimos cuadrados del número de empresas atendiendo a su forma jurídica</w:t>
      </w:r>
    </w:p>
    <w:tbl>
      <w:tblPr>
        <w:tblStyle w:val="Tablaconcuadrcula"/>
        <w:tblW w:w="0" w:type="auto"/>
        <w:jc w:val="center"/>
        <w:tblInd w:w="392" w:type="dxa"/>
        <w:tblLook w:val="04A0"/>
      </w:tblPr>
      <w:tblGrid>
        <w:gridCol w:w="3828"/>
        <w:gridCol w:w="953"/>
      </w:tblGrid>
      <w:tr w:rsidR="00BF6768" w:rsidRPr="009867D2" w:rsidTr="00862671">
        <w:trPr>
          <w:jc w:val="center"/>
        </w:trPr>
        <w:tc>
          <w:tcPr>
            <w:tcW w:w="3828" w:type="dxa"/>
          </w:tcPr>
          <w:p w:rsidR="00BF6768" w:rsidRPr="00940454" w:rsidRDefault="00BF6768" w:rsidP="001A1A93">
            <w:pPr>
              <w:jc w:val="both"/>
              <w:rPr>
                <w:b/>
                <w:sz w:val="18"/>
              </w:rPr>
            </w:pPr>
            <w:r w:rsidRPr="00940454">
              <w:rPr>
                <w:b/>
                <w:sz w:val="18"/>
              </w:rPr>
              <w:t>Forma jurídica</w:t>
            </w:r>
          </w:p>
        </w:tc>
        <w:tc>
          <w:tcPr>
            <w:tcW w:w="953" w:type="dxa"/>
          </w:tcPr>
          <w:p w:rsidR="00BF6768" w:rsidRPr="00940454" w:rsidRDefault="00BF6768" w:rsidP="00862671">
            <w:pPr>
              <w:jc w:val="center"/>
              <w:rPr>
                <w:b/>
                <w:i/>
                <w:sz w:val="18"/>
              </w:rPr>
            </w:pPr>
            <w:r w:rsidRPr="00940454">
              <w:rPr>
                <w:b/>
                <w:i/>
                <w:sz w:val="18"/>
              </w:rPr>
              <w:t>m</w:t>
            </w:r>
          </w:p>
        </w:tc>
      </w:tr>
      <w:tr w:rsidR="00BF6768" w:rsidTr="00862671">
        <w:trPr>
          <w:jc w:val="center"/>
        </w:trPr>
        <w:tc>
          <w:tcPr>
            <w:tcW w:w="3828" w:type="dxa"/>
          </w:tcPr>
          <w:p w:rsidR="00BF6768" w:rsidRPr="00940454" w:rsidRDefault="00BF6768" w:rsidP="001A1A93">
            <w:pPr>
              <w:jc w:val="both"/>
              <w:rPr>
                <w:sz w:val="18"/>
              </w:rPr>
            </w:pPr>
            <w:r w:rsidRPr="00940454">
              <w:rPr>
                <w:sz w:val="18"/>
              </w:rPr>
              <w:t>Sociedades anónimas</w:t>
            </w:r>
          </w:p>
        </w:tc>
        <w:tc>
          <w:tcPr>
            <w:tcW w:w="953" w:type="dxa"/>
          </w:tcPr>
          <w:p w:rsidR="00BF6768" w:rsidRPr="00940454" w:rsidRDefault="009867D2" w:rsidP="001A1A93">
            <w:pPr>
              <w:jc w:val="both"/>
              <w:rPr>
                <w:sz w:val="18"/>
              </w:rPr>
            </w:pPr>
            <w:r w:rsidRPr="00940454">
              <w:rPr>
                <w:sz w:val="18"/>
              </w:rPr>
              <w:t>-1,9751</w:t>
            </w:r>
          </w:p>
        </w:tc>
      </w:tr>
      <w:tr w:rsidR="00BF6768" w:rsidTr="00862671">
        <w:trPr>
          <w:jc w:val="center"/>
        </w:trPr>
        <w:tc>
          <w:tcPr>
            <w:tcW w:w="3828" w:type="dxa"/>
          </w:tcPr>
          <w:p w:rsidR="00BF6768" w:rsidRPr="00940454" w:rsidRDefault="00BF6768" w:rsidP="001A1A93">
            <w:pPr>
              <w:jc w:val="both"/>
              <w:rPr>
                <w:sz w:val="18"/>
              </w:rPr>
            </w:pPr>
            <w:r w:rsidRPr="00940454">
              <w:rPr>
                <w:sz w:val="18"/>
              </w:rPr>
              <w:t>Sociedades de Responsabilidad Limitada</w:t>
            </w:r>
          </w:p>
        </w:tc>
        <w:tc>
          <w:tcPr>
            <w:tcW w:w="953" w:type="dxa"/>
          </w:tcPr>
          <w:p w:rsidR="00BF6768" w:rsidRPr="00940454" w:rsidRDefault="009867D2" w:rsidP="001A1A93">
            <w:pPr>
              <w:jc w:val="both"/>
              <w:rPr>
                <w:sz w:val="18"/>
              </w:rPr>
            </w:pPr>
            <w:r w:rsidRPr="00940454">
              <w:rPr>
                <w:sz w:val="18"/>
              </w:rPr>
              <w:t>-1,0073</w:t>
            </w:r>
          </w:p>
        </w:tc>
      </w:tr>
      <w:tr w:rsidR="00BF6768" w:rsidTr="00862671">
        <w:trPr>
          <w:jc w:val="center"/>
        </w:trPr>
        <w:tc>
          <w:tcPr>
            <w:tcW w:w="3828" w:type="dxa"/>
          </w:tcPr>
          <w:p w:rsidR="00BF6768" w:rsidRPr="00940454" w:rsidRDefault="00BF6768" w:rsidP="001A1A93">
            <w:pPr>
              <w:jc w:val="both"/>
              <w:rPr>
                <w:sz w:val="18"/>
              </w:rPr>
            </w:pPr>
            <w:r w:rsidRPr="00940454">
              <w:rPr>
                <w:sz w:val="18"/>
              </w:rPr>
              <w:t>Sociedades cooperativas</w:t>
            </w:r>
          </w:p>
        </w:tc>
        <w:tc>
          <w:tcPr>
            <w:tcW w:w="953" w:type="dxa"/>
          </w:tcPr>
          <w:p w:rsidR="00BF6768" w:rsidRPr="00940454" w:rsidRDefault="009867D2" w:rsidP="001A1A93">
            <w:pPr>
              <w:jc w:val="both"/>
              <w:rPr>
                <w:sz w:val="18"/>
              </w:rPr>
            </w:pPr>
            <w:r w:rsidRPr="00940454">
              <w:rPr>
                <w:sz w:val="18"/>
              </w:rPr>
              <w:t>-2,8624</w:t>
            </w:r>
          </w:p>
        </w:tc>
      </w:tr>
      <w:tr w:rsidR="00BF6768" w:rsidTr="00862671">
        <w:trPr>
          <w:jc w:val="center"/>
        </w:trPr>
        <w:tc>
          <w:tcPr>
            <w:tcW w:w="3828" w:type="dxa"/>
          </w:tcPr>
          <w:p w:rsidR="00BF6768" w:rsidRPr="00940454" w:rsidRDefault="00BF6768" w:rsidP="001A1A93">
            <w:pPr>
              <w:jc w:val="both"/>
              <w:rPr>
                <w:sz w:val="18"/>
              </w:rPr>
            </w:pPr>
            <w:r w:rsidRPr="00940454">
              <w:rPr>
                <w:sz w:val="18"/>
              </w:rPr>
              <w:t>Personas físicas</w:t>
            </w:r>
          </w:p>
        </w:tc>
        <w:tc>
          <w:tcPr>
            <w:tcW w:w="953" w:type="dxa"/>
          </w:tcPr>
          <w:p w:rsidR="00BF6768" w:rsidRPr="00940454" w:rsidRDefault="009867D2" w:rsidP="009867D2">
            <w:pPr>
              <w:jc w:val="both"/>
              <w:rPr>
                <w:sz w:val="18"/>
              </w:rPr>
            </w:pPr>
            <w:r w:rsidRPr="00940454">
              <w:rPr>
                <w:sz w:val="18"/>
              </w:rPr>
              <w:t>-2,9486</w:t>
            </w:r>
          </w:p>
        </w:tc>
      </w:tr>
    </w:tbl>
    <w:p w:rsidR="00BF6768" w:rsidRDefault="00BF6768" w:rsidP="001A1A93">
      <w:pPr>
        <w:jc w:val="both"/>
      </w:pPr>
    </w:p>
    <w:p w:rsidR="00DD4C86" w:rsidRPr="006F21AF" w:rsidRDefault="009867D2" w:rsidP="001A1A93">
      <w:pPr>
        <w:jc w:val="both"/>
        <w:rPr>
          <w:rFonts w:ascii="Arial" w:hAnsi="Arial" w:cs="Arial"/>
          <w:sz w:val="22"/>
        </w:rPr>
      </w:pPr>
      <w:r w:rsidRPr="006F21AF">
        <w:rPr>
          <w:rFonts w:ascii="Arial" w:hAnsi="Arial" w:cs="Arial"/>
          <w:sz w:val="22"/>
        </w:rPr>
        <w:t xml:space="preserve">Tal como se observa en la </w:t>
      </w:r>
      <w:r w:rsidR="00DD4C86" w:rsidRPr="006F21AF">
        <w:rPr>
          <w:rFonts w:ascii="Arial" w:hAnsi="Arial" w:cs="Arial"/>
          <w:sz w:val="22"/>
        </w:rPr>
        <w:t>citada Tabla</w:t>
      </w:r>
      <w:r w:rsidRPr="006F21AF">
        <w:rPr>
          <w:rFonts w:ascii="Arial" w:hAnsi="Arial" w:cs="Arial"/>
          <w:sz w:val="22"/>
        </w:rPr>
        <w:t xml:space="preserve">, la velocidad de ajuste de las Sociedades Cooperativas ha sido elevada, </w:t>
      </w:r>
      <w:r w:rsidR="00FB4770" w:rsidRPr="006F21AF">
        <w:rPr>
          <w:rFonts w:ascii="Arial" w:hAnsi="Arial" w:cs="Arial"/>
          <w:sz w:val="22"/>
        </w:rPr>
        <w:t xml:space="preserve">situándose en segunda posición tras </w:t>
      </w:r>
      <w:r w:rsidRPr="006F21AF">
        <w:rPr>
          <w:rFonts w:ascii="Arial" w:hAnsi="Arial" w:cs="Arial"/>
          <w:sz w:val="22"/>
        </w:rPr>
        <w:t xml:space="preserve">la relativa al número de personas físicas. </w:t>
      </w:r>
      <w:r w:rsidR="002D4CF3" w:rsidRPr="006F21AF">
        <w:rPr>
          <w:rFonts w:ascii="Arial" w:hAnsi="Arial" w:cs="Arial"/>
          <w:sz w:val="22"/>
        </w:rPr>
        <w:t>Este dato</w:t>
      </w:r>
      <w:r w:rsidRPr="006F21AF">
        <w:rPr>
          <w:rFonts w:ascii="Arial" w:hAnsi="Arial" w:cs="Arial"/>
          <w:sz w:val="22"/>
        </w:rPr>
        <w:t xml:space="preserve"> no debe ser interpretado tan sólo como </w:t>
      </w:r>
      <w:r w:rsidR="002D4CF3" w:rsidRPr="006F21AF">
        <w:rPr>
          <w:rFonts w:ascii="Arial" w:hAnsi="Arial" w:cs="Arial"/>
          <w:sz w:val="22"/>
        </w:rPr>
        <w:t>un proceso de disolución</w:t>
      </w:r>
      <w:r w:rsidRPr="006F21AF">
        <w:rPr>
          <w:rFonts w:ascii="Arial" w:hAnsi="Arial" w:cs="Arial"/>
          <w:sz w:val="22"/>
        </w:rPr>
        <w:t xml:space="preserve"> de </w:t>
      </w:r>
      <w:r w:rsidR="002D4CF3" w:rsidRPr="006F21AF">
        <w:rPr>
          <w:rFonts w:ascii="Arial" w:hAnsi="Arial" w:cs="Arial"/>
          <w:sz w:val="22"/>
        </w:rPr>
        <w:t>sociedades</w:t>
      </w:r>
      <w:r w:rsidRPr="006F21AF">
        <w:rPr>
          <w:rFonts w:ascii="Arial" w:hAnsi="Arial" w:cs="Arial"/>
          <w:sz w:val="22"/>
        </w:rPr>
        <w:t xml:space="preserve"> sino que</w:t>
      </w:r>
      <w:r w:rsidR="002D4CF3" w:rsidRPr="006F21AF">
        <w:rPr>
          <w:rFonts w:ascii="Arial" w:hAnsi="Arial" w:cs="Arial"/>
          <w:sz w:val="22"/>
        </w:rPr>
        <w:t xml:space="preserve"> en él están incluidas las integraciones cooperativas por absorción o creación de una nueva cooperativa. </w:t>
      </w:r>
    </w:p>
    <w:p w:rsidR="00DD4C86" w:rsidRPr="006F21AF" w:rsidRDefault="00DD4C86" w:rsidP="001A1A93">
      <w:pPr>
        <w:jc w:val="both"/>
        <w:rPr>
          <w:rFonts w:ascii="Arial" w:hAnsi="Arial" w:cs="Arial"/>
          <w:sz w:val="22"/>
        </w:rPr>
      </w:pPr>
    </w:p>
    <w:p w:rsidR="00DD4C86" w:rsidRPr="006F21AF" w:rsidRDefault="002D4CF3" w:rsidP="001A1A93">
      <w:pPr>
        <w:jc w:val="both"/>
        <w:rPr>
          <w:rFonts w:ascii="Arial" w:hAnsi="Arial" w:cs="Arial"/>
          <w:sz w:val="22"/>
        </w:rPr>
      </w:pPr>
      <w:r w:rsidRPr="006F21AF">
        <w:rPr>
          <w:rFonts w:ascii="Arial" w:hAnsi="Arial" w:cs="Arial"/>
          <w:sz w:val="22"/>
        </w:rPr>
        <w:t>En los últimos años existe una creciente concienciación por parte de sector cooperativo así como por la Administración de la necesidad de acometer procesos de concentración que permitan aumentar el tamaño de la entidades, especialmente en sectores como el agroalimentario en el que existe un fuerte disparidad entre el poder de negociación de las empresas oferentes y demandantes.</w:t>
      </w:r>
      <w:r w:rsidR="009867D2" w:rsidRPr="006F21AF">
        <w:rPr>
          <w:rFonts w:ascii="Arial" w:hAnsi="Arial" w:cs="Arial"/>
          <w:sz w:val="22"/>
        </w:rPr>
        <w:t xml:space="preserve"> </w:t>
      </w:r>
    </w:p>
    <w:p w:rsidR="00DD4C86" w:rsidRPr="006F21AF" w:rsidRDefault="00DD4C86" w:rsidP="001A1A93">
      <w:pPr>
        <w:jc w:val="both"/>
        <w:rPr>
          <w:rFonts w:ascii="Arial" w:hAnsi="Arial" w:cs="Arial"/>
          <w:sz w:val="22"/>
        </w:rPr>
      </w:pPr>
    </w:p>
    <w:p w:rsidR="00DD4C86" w:rsidRPr="006F21AF" w:rsidRDefault="00DD4C86" w:rsidP="00DD4C86">
      <w:pPr>
        <w:jc w:val="both"/>
        <w:rPr>
          <w:rFonts w:ascii="Arial" w:hAnsi="Arial" w:cs="Arial"/>
          <w:sz w:val="22"/>
        </w:rPr>
      </w:pPr>
      <w:r w:rsidRPr="006F21AF">
        <w:rPr>
          <w:rFonts w:ascii="Arial" w:hAnsi="Arial" w:cs="Arial"/>
          <w:sz w:val="22"/>
        </w:rPr>
        <w:t xml:space="preserve">Es difícil cuantificar el número de disoluciones debidas a procesos de integración a nivel nacional dado que no existe información estadística al respecto, estando delegadas las competencias a los Registros Autonómicos de Cooperativas, sin embargo como muestra del comportamiento en los últimos años se incluye en la Figura 2 la evolución del número de disoluciones por causa de fusión o escisión registradas en Andalucía en el periodo 1998-2010, dado que ésta es la comunidad </w:t>
      </w:r>
      <w:r w:rsidRPr="006F21AF">
        <w:rPr>
          <w:rFonts w:ascii="Arial" w:hAnsi="Arial" w:cs="Arial"/>
          <w:sz w:val="22"/>
        </w:rPr>
        <w:lastRenderedPageBreak/>
        <w:t>autónoma con un mayor número de cooperativas y por tanto se estima que puede constituir un buen ejemplo del comportamiento en este sentido.</w:t>
      </w:r>
    </w:p>
    <w:p w:rsidR="00DD4C86" w:rsidRPr="006F21AF" w:rsidRDefault="00DD4C86" w:rsidP="00DD4C86">
      <w:pPr>
        <w:jc w:val="both"/>
        <w:rPr>
          <w:rFonts w:ascii="Arial" w:hAnsi="Arial" w:cs="Arial"/>
        </w:rPr>
      </w:pPr>
    </w:p>
    <w:p w:rsidR="00DD4C86" w:rsidRPr="006F21AF" w:rsidRDefault="00DD4C86" w:rsidP="00DD4C86">
      <w:pPr>
        <w:pStyle w:val="Epgrafe"/>
        <w:keepNext/>
        <w:jc w:val="center"/>
        <w:rPr>
          <w:rFonts w:ascii="Arial" w:hAnsi="Arial" w:cs="Arial"/>
          <w:color w:val="auto"/>
        </w:rPr>
      </w:pPr>
      <w:r w:rsidRPr="006F21AF">
        <w:rPr>
          <w:rFonts w:ascii="Arial" w:hAnsi="Arial" w:cs="Arial"/>
          <w:color w:val="auto"/>
        </w:rPr>
        <w:t xml:space="preserve">Figura  </w:t>
      </w:r>
      <w:r w:rsidR="00C160A7" w:rsidRPr="006F21AF">
        <w:rPr>
          <w:rFonts w:ascii="Arial" w:hAnsi="Arial" w:cs="Arial"/>
          <w:color w:val="auto"/>
        </w:rPr>
        <w:fldChar w:fldCharType="begin"/>
      </w:r>
      <w:r w:rsidRPr="006F21AF">
        <w:rPr>
          <w:rFonts w:ascii="Arial" w:hAnsi="Arial" w:cs="Arial"/>
          <w:color w:val="auto"/>
        </w:rPr>
        <w:instrText xml:space="preserve"> SEQ Figura_ \* ARABIC </w:instrText>
      </w:r>
      <w:r w:rsidR="00C160A7" w:rsidRPr="006F21AF">
        <w:rPr>
          <w:rFonts w:ascii="Arial" w:hAnsi="Arial" w:cs="Arial"/>
          <w:color w:val="auto"/>
        </w:rPr>
        <w:fldChar w:fldCharType="separate"/>
      </w:r>
      <w:r w:rsidR="00495D64">
        <w:rPr>
          <w:rFonts w:ascii="Arial" w:hAnsi="Arial" w:cs="Arial"/>
          <w:noProof/>
          <w:color w:val="auto"/>
        </w:rPr>
        <w:t>2</w:t>
      </w:r>
      <w:r w:rsidR="00C160A7" w:rsidRPr="006F21AF">
        <w:rPr>
          <w:rFonts w:ascii="Arial" w:hAnsi="Arial" w:cs="Arial"/>
          <w:color w:val="auto"/>
        </w:rPr>
        <w:fldChar w:fldCharType="end"/>
      </w:r>
      <w:r w:rsidRPr="006F21AF">
        <w:rPr>
          <w:rFonts w:ascii="Arial" w:hAnsi="Arial" w:cs="Arial"/>
          <w:color w:val="auto"/>
        </w:rPr>
        <w:t xml:space="preserve">: Evolución del número de disoluciones de cooperativas por causa de fusión o escisión en Andalucía 1998-2010. </w:t>
      </w:r>
      <w:r w:rsidRPr="006F21AF">
        <w:rPr>
          <w:rFonts w:ascii="Arial" w:hAnsi="Arial" w:cs="Arial"/>
          <w:noProof/>
          <w:color w:val="auto"/>
        </w:rPr>
        <w:t>Fuente: Junta de Andalucía (2012)</w:t>
      </w:r>
    </w:p>
    <w:p w:rsidR="00DD4C86" w:rsidRDefault="00DD4C86" w:rsidP="00DD4C86">
      <w:pPr>
        <w:jc w:val="center"/>
      </w:pPr>
      <w:r>
        <w:rPr>
          <w:noProof/>
          <w:lang w:val="es-ES" w:eastAsia="es-ES"/>
        </w:rPr>
        <w:drawing>
          <wp:inline distT="0" distB="0" distL="0" distR="0">
            <wp:extent cx="4128448" cy="1825625"/>
            <wp:effectExtent l="0" t="0" r="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D4C86" w:rsidRDefault="00DD4C86" w:rsidP="00DD4C86">
      <w:pPr>
        <w:jc w:val="both"/>
      </w:pPr>
      <w:r>
        <w:t xml:space="preserve"> </w:t>
      </w:r>
    </w:p>
    <w:p w:rsidR="00DD4C86" w:rsidRDefault="00DD4C86" w:rsidP="00DD4C86">
      <w:pPr>
        <w:jc w:val="both"/>
        <w:rPr>
          <w:sz w:val="22"/>
        </w:rPr>
      </w:pPr>
    </w:p>
    <w:p w:rsidR="00BF6768" w:rsidRPr="006F21AF" w:rsidRDefault="00DD4C86" w:rsidP="00DD4C86">
      <w:pPr>
        <w:jc w:val="both"/>
        <w:rPr>
          <w:rFonts w:ascii="Arial" w:hAnsi="Arial" w:cs="Arial"/>
        </w:rPr>
      </w:pPr>
      <w:r w:rsidRPr="006F21AF">
        <w:rPr>
          <w:rFonts w:ascii="Arial" w:hAnsi="Arial" w:cs="Arial"/>
          <w:sz w:val="22"/>
        </w:rPr>
        <w:t>Por ello</w:t>
      </w:r>
      <w:r w:rsidR="002D4CF3" w:rsidRPr="006F21AF">
        <w:rPr>
          <w:rFonts w:ascii="Arial" w:hAnsi="Arial" w:cs="Arial"/>
          <w:sz w:val="22"/>
        </w:rPr>
        <w:t>, a pesar del comportamiento creciente de este movimiento integrador</w:t>
      </w:r>
      <w:r w:rsidRPr="006F21AF">
        <w:rPr>
          <w:rFonts w:ascii="Arial" w:hAnsi="Arial" w:cs="Arial"/>
          <w:sz w:val="22"/>
        </w:rPr>
        <w:t>,</w:t>
      </w:r>
      <w:r w:rsidR="002D4CF3" w:rsidRPr="006F21AF">
        <w:rPr>
          <w:rFonts w:ascii="Arial" w:hAnsi="Arial" w:cs="Arial"/>
          <w:sz w:val="22"/>
        </w:rPr>
        <w:t xml:space="preserve"> hay que reconocer </w:t>
      </w:r>
      <w:r w:rsidRPr="006F21AF">
        <w:rPr>
          <w:rFonts w:ascii="Arial" w:hAnsi="Arial" w:cs="Arial"/>
          <w:sz w:val="22"/>
        </w:rPr>
        <w:t xml:space="preserve">que en términos absolutos no parece </w:t>
      </w:r>
      <w:r w:rsidR="00C10CAD" w:rsidRPr="006F21AF">
        <w:rPr>
          <w:rFonts w:ascii="Arial" w:hAnsi="Arial" w:cs="Arial"/>
          <w:sz w:val="22"/>
        </w:rPr>
        <w:t>constituir</w:t>
      </w:r>
      <w:r w:rsidRPr="006F21AF">
        <w:rPr>
          <w:rFonts w:ascii="Arial" w:hAnsi="Arial" w:cs="Arial"/>
          <w:sz w:val="22"/>
        </w:rPr>
        <w:t xml:space="preserve"> el elemento determinante d</w:t>
      </w:r>
      <w:r w:rsidR="00C10CAD" w:rsidRPr="006F21AF">
        <w:rPr>
          <w:rFonts w:ascii="Arial" w:hAnsi="Arial" w:cs="Arial"/>
          <w:sz w:val="22"/>
        </w:rPr>
        <w:t>e la reducción que se constata en el número de cooperativas.</w:t>
      </w:r>
    </w:p>
    <w:p w:rsidR="00340792" w:rsidRPr="006F21AF" w:rsidRDefault="00340792" w:rsidP="001A1A93">
      <w:pPr>
        <w:jc w:val="both"/>
        <w:rPr>
          <w:rFonts w:ascii="Arial" w:hAnsi="Arial" w:cs="Arial"/>
          <w:sz w:val="22"/>
        </w:rPr>
      </w:pPr>
    </w:p>
    <w:p w:rsidR="00340792" w:rsidRPr="006F21AF" w:rsidRDefault="00940454" w:rsidP="00340792">
      <w:pPr>
        <w:pStyle w:val="Prrafodelista"/>
        <w:numPr>
          <w:ilvl w:val="0"/>
          <w:numId w:val="2"/>
        </w:numPr>
        <w:rPr>
          <w:rFonts w:ascii="Arial" w:hAnsi="Arial" w:cs="Arial"/>
          <w:b/>
          <w:sz w:val="22"/>
        </w:rPr>
      </w:pPr>
      <w:r w:rsidRPr="006F21AF">
        <w:rPr>
          <w:rFonts w:ascii="Arial" w:hAnsi="Arial" w:cs="Arial"/>
          <w:b/>
          <w:sz w:val="22"/>
        </w:rPr>
        <w:t>Análisis del comportamiento del empleo según tipología empresarial</w:t>
      </w:r>
    </w:p>
    <w:p w:rsidR="00340792" w:rsidRPr="006F21AF" w:rsidRDefault="00340792" w:rsidP="001A1A93">
      <w:pPr>
        <w:jc w:val="both"/>
        <w:rPr>
          <w:rFonts w:ascii="Arial" w:hAnsi="Arial" w:cs="Arial"/>
          <w:sz w:val="22"/>
        </w:rPr>
      </w:pPr>
    </w:p>
    <w:p w:rsidR="001B6DDC" w:rsidRPr="006F21AF" w:rsidRDefault="00862671" w:rsidP="001A1A93">
      <w:pPr>
        <w:jc w:val="both"/>
        <w:rPr>
          <w:rFonts w:ascii="Arial" w:hAnsi="Arial" w:cs="Arial"/>
          <w:sz w:val="22"/>
        </w:rPr>
      </w:pPr>
      <w:r w:rsidRPr="006F21AF">
        <w:rPr>
          <w:rFonts w:ascii="Arial" w:hAnsi="Arial" w:cs="Arial"/>
          <w:sz w:val="22"/>
        </w:rPr>
        <w:t xml:space="preserve">La segunda variable a valorar a fin de caracterizar la evolución que han experimentado las distintas empresas en el periodo 2008-2012 es el número de trabajadores con los que cuentan. Según </w:t>
      </w:r>
      <w:r w:rsidR="001A1A93" w:rsidRPr="006F21AF">
        <w:rPr>
          <w:rFonts w:ascii="Arial" w:hAnsi="Arial" w:cs="Arial"/>
          <w:sz w:val="22"/>
        </w:rPr>
        <w:t xml:space="preserve">datos del Ministerio de </w:t>
      </w:r>
      <w:r w:rsidR="00D9771C" w:rsidRPr="006F21AF">
        <w:rPr>
          <w:rFonts w:ascii="Arial" w:hAnsi="Arial" w:cs="Arial"/>
          <w:sz w:val="22"/>
        </w:rPr>
        <w:t>Empleo y Seguridad Social</w:t>
      </w:r>
      <w:r w:rsidR="001A1A93" w:rsidRPr="006F21AF">
        <w:rPr>
          <w:rFonts w:ascii="Arial" w:hAnsi="Arial" w:cs="Arial"/>
          <w:sz w:val="22"/>
        </w:rPr>
        <w:t>, en España existían en el 1º trimestre de 2012,</w:t>
      </w:r>
      <w:r w:rsidR="003D74CB" w:rsidRPr="006F21AF">
        <w:rPr>
          <w:rFonts w:ascii="Arial" w:hAnsi="Arial" w:cs="Arial"/>
          <w:sz w:val="22"/>
        </w:rPr>
        <w:t xml:space="preserve"> 37.325.442 trabajadores afiliados a la Seguridad Social, de los cuales un 36,3% pertenec</w:t>
      </w:r>
      <w:r w:rsidR="00D9771C" w:rsidRPr="006F21AF">
        <w:rPr>
          <w:rFonts w:ascii="Arial" w:hAnsi="Arial" w:cs="Arial"/>
          <w:sz w:val="22"/>
        </w:rPr>
        <w:t>ían</w:t>
      </w:r>
      <w:r w:rsidR="003D74CB" w:rsidRPr="006F21AF">
        <w:rPr>
          <w:rFonts w:ascii="Arial" w:hAnsi="Arial" w:cs="Arial"/>
          <w:sz w:val="22"/>
        </w:rPr>
        <w:t xml:space="preserve"> a Sociedades de Responsabilidad Limitada, un 30,3% a Sociedades Anónimas, 7,1% son autónomos y un 26,2% a otro tipo de formas jurídicas, entre ellas las cooperativas. En términos absolutos los trabajadores de las Sociedades cooperativas ascendían a</w:t>
      </w:r>
      <w:r w:rsidR="001B6DDC" w:rsidRPr="006F21AF">
        <w:rPr>
          <w:rFonts w:ascii="Arial" w:hAnsi="Arial" w:cs="Arial"/>
          <w:sz w:val="22"/>
        </w:rPr>
        <w:t xml:space="preserve"> 282.63</w:t>
      </w:r>
      <w:r w:rsidR="00433CAF" w:rsidRPr="006F21AF">
        <w:rPr>
          <w:rFonts w:ascii="Arial" w:hAnsi="Arial" w:cs="Arial"/>
          <w:sz w:val="22"/>
        </w:rPr>
        <w:t>1</w:t>
      </w:r>
      <w:r w:rsidR="001B6DDC" w:rsidRPr="006F21AF">
        <w:rPr>
          <w:rFonts w:ascii="Arial" w:hAnsi="Arial" w:cs="Arial"/>
          <w:sz w:val="22"/>
        </w:rPr>
        <w:t>, lo qu</w:t>
      </w:r>
      <w:r w:rsidR="00D9771C" w:rsidRPr="006F21AF">
        <w:rPr>
          <w:rFonts w:ascii="Arial" w:hAnsi="Arial" w:cs="Arial"/>
          <w:sz w:val="22"/>
        </w:rPr>
        <w:t>e</w:t>
      </w:r>
      <w:r w:rsidR="0086144B" w:rsidRPr="006F21AF">
        <w:rPr>
          <w:rFonts w:ascii="Arial" w:hAnsi="Arial" w:cs="Arial"/>
          <w:sz w:val="22"/>
        </w:rPr>
        <w:t xml:space="preserve"> significa un 0,75% del total (F</w:t>
      </w:r>
      <w:r w:rsidR="00D9771C" w:rsidRPr="006F21AF">
        <w:rPr>
          <w:rFonts w:ascii="Arial" w:hAnsi="Arial" w:cs="Arial"/>
          <w:sz w:val="22"/>
        </w:rPr>
        <w:t>igura 3)</w:t>
      </w:r>
    </w:p>
    <w:p w:rsidR="001B6DDC" w:rsidRDefault="001B6DDC" w:rsidP="001A1A93">
      <w:pPr>
        <w:jc w:val="both"/>
      </w:pPr>
    </w:p>
    <w:p w:rsidR="001B6DDC" w:rsidRPr="006F21AF" w:rsidRDefault="001B6DDC" w:rsidP="001B6DDC">
      <w:pPr>
        <w:pStyle w:val="Epgrafe"/>
        <w:keepNext/>
        <w:jc w:val="both"/>
        <w:rPr>
          <w:rFonts w:ascii="Arial" w:hAnsi="Arial" w:cs="Arial"/>
          <w:color w:val="auto"/>
        </w:rPr>
      </w:pPr>
      <w:r w:rsidRPr="006F21AF">
        <w:rPr>
          <w:rFonts w:ascii="Arial" w:hAnsi="Arial" w:cs="Arial"/>
          <w:color w:val="auto"/>
        </w:rPr>
        <w:t xml:space="preserve">Figura </w:t>
      </w:r>
      <w:r w:rsidR="00C160A7" w:rsidRPr="006F21AF">
        <w:rPr>
          <w:rFonts w:ascii="Arial" w:hAnsi="Arial" w:cs="Arial"/>
          <w:color w:val="auto"/>
        </w:rPr>
        <w:fldChar w:fldCharType="begin"/>
      </w:r>
      <w:r w:rsidRPr="006F21AF">
        <w:rPr>
          <w:rFonts w:ascii="Arial" w:hAnsi="Arial" w:cs="Arial"/>
          <w:color w:val="auto"/>
        </w:rPr>
        <w:instrText xml:space="preserve"> SEQ Figura_ \* ARABIC </w:instrText>
      </w:r>
      <w:r w:rsidR="00C160A7" w:rsidRPr="006F21AF">
        <w:rPr>
          <w:rFonts w:ascii="Arial" w:hAnsi="Arial" w:cs="Arial"/>
          <w:color w:val="auto"/>
        </w:rPr>
        <w:fldChar w:fldCharType="separate"/>
      </w:r>
      <w:r w:rsidR="00495D64">
        <w:rPr>
          <w:rFonts w:ascii="Arial" w:hAnsi="Arial" w:cs="Arial"/>
          <w:noProof/>
          <w:color w:val="auto"/>
        </w:rPr>
        <w:t>3</w:t>
      </w:r>
      <w:r w:rsidR="00C160A7" w:rsidRPr="006F21AF">
        <w:rPr>
          <w:rFonts w:ascii="Arial" w:hAnsi="Arial" w:cs="Arial"/>
          <w:color w:val="auto"/>
        </w:rPr>
        <w:fldChar w:fldCharType="end"/>
      </w:r>
      <w:r w:rsidRPr="006F21AF">
        <w:rPr>
          <w:rFonts w:ascii="Arial" w:hAnsi="Arial" w:cs="Arial"/>
          <w:color w:val="auto"/>
        </w:rPr>
        <w:t>: Distribución de trabajadores afiliados a la Seguridad Social por forma jurídica empresa en 1er trimestre 2012</w:t>
      </w:r>
      <w:r w:rsidR="00135771" w:rsidRPr="006F21AF">
        <w:rPr>
          <w:rFonts w:ascii="Arial" w:hAnsi="Arial" w:cs="Arial"/>
          <w:color w:val="auto"/>
        </w:rPr>
        <w:t xml:space="preserve">. </w:t>
      </w:r>
      <w:r w:rsidR="00135771" w:rsidRPr="006F21AF">
        <w:rPr>
          <w:rFonts w:ascii="Arial" w:hAnsi="Arial" w:cs="Arial"/>
          <w:noProof/>
          <w:color w:val="auto"/>
        </w:rPr>
        <w:t>Fuente: Ministerio de Empleo y Seguridad Social (2012)</w:t>
      </w:r>
    </w:p>
    <w:p w:rsidR="001B6DDC" w:rsidRDefault="001B6DDC" w:rsidP="001B6DDC">
      <w:pPr>
        <w:jc w:val="center"/>
      </w:pPr>
      <w:r w:rsidRPr="001B6DDC">
        <w:rPr>
          <w:noProof/>
          <w:lang w:val="es-ES" w:eastAsia="es-ES"/>
        </w:rPr>
        <w:drawing>
          <wp:inline distT="0" distB="0" distL="0" distR="0">
            <wp:extent cx="3746311" cy="1999397"/>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B6DDC" w:rsidRDefault="001B6DDC" w:rsidP="001A1A93">
      <w:pPr>
        <w:jc w:val="both"/>
      </w:pPr>
    </w:p>
    <w:p w:rsidR="00AF23D6" w:rsidRDefault="00AF23D6"/>
    <w:p w:rsidR="001B6DDC" w:rsidRPr="006F21AF" w:rsidRDefault="00D9771C" w:rsidP="001B6DDC">
      <w:pPr>
        <w:jc w:val="both"/>
        <w:rPr>
          <w:rFonts w:ascii="Arial" w:hAnsi="Arial" w:cs="Arial"/>
          <w:sz w:val="22"/>
        </w:rPr>
      </w:pPr>
      <w:r w:rsidRPr="006F21AF">
        <w:rPr>
          <w:rFonts w:ascii="Arial" w:hAnsi="Arial" w:cs="Arial"/>
          <w:sz w:val="22"/>
        </w:rPr>
        <w:t xml:space="preserve">De forma análoga al </w:t>
      </w:r>
      <w:r w:rsidR="001B6DDC" w:rsidRPr="006F21AF">
        <w:rPr>
          <w:rFonts w:ascii="Arial" w:hAnsi="Arial" w:cs="Arial"/>
          <w:sz w:val="22"/>
        </w:rPr>
        <w:t xml:space="preserve">análisis efectuado en relación al número de entidades, se ha </w:t>
      </w:r>
      <w:r w:rsidR="00602117" w:rsidRPr="006F21AF">
        <w:rPr>
          <w:rFonts w:ascii="Arial" w:hAnsi="Arial" w:cs="Arial"/>
          <w:sz w:val="22"/>
        </w:rPr>
        <w:t>realizado</w:t>
      </w:r>
      <w:r w:rsidR="001B6DDC" w:rsidRPr="006F21AF">
        <w:rPr>
          <w:rFonts w:ascii="Arial" w:hAnsi="Arial" w:cs="Arial"/>
          <w:sz w:val="22"/>
        </w:rPr>
        <w:t xml:space="preserve"> un ajuste por mínimos cuadrados en la serie trimestral de número de </w:t>
      </w:r>
      <w:r w:rsidR="001B6DDC" w:rsidRPr="006F21AF">
        <w:rPr>
          <w:rFonts w:ascii="Arial" w:hAnsi="Arial" w:cs="Arial"/>
          <w:sz w:val="22"/>
        </w:rPr>
        <w:lastRenderedPageBreak/>
        <w:t>trabajadores afiliados a la Seguridad Social, tanto de las entidades capitalistas como de los datos sectoriales de las cooperativas</w:t>
      </w:r>
      <w:r w:rsidR="00602117" w:rsidRPr="006F21AF">
        <w:rPr>
          <w:rFonts w:ascii="Arial" w:hAnsi="Arial" w:cs="Arial"/>
          <w:sz w:val="22"/>
        </w:rPr>
        <w:t>, una vez transformados en números índice de base 100 (año 2000)</w:t>
      </w:r>
      <w:r w:rsidR="001B6DDC" w:rsidRPr="006F21AF">
        <w:rPr>
          <w:rFonts w:ascii="Arial" w:hAnsi="Arial" w:cs="Arial"/>
          <w:sz w:val="22"/>
        </w:rPr>
        <w:t xml:space="preserve"> a fin de establecer la pauta de variación </w:t>
      </w:r>
      <w:r w:rsidR="00602117" w:rsidRPr="006F21AF">
        <w:rPr>
          <w:rFonts w:ascii="Arial" w:hAnsi="Arial" w:cs="Arial"/>
          <w:sz w:val="22"/>
        </w:rPr>
        <w:t xml:space="preserve">en términos relativos </w:t>
      </w:r>
      <w:r w:rsidR="001B6DDC" w:rsidRPr="006F21AF">
        <w:rPr>
          <w:rFonts w:ascii="Arial" w:hAnsi="Arial" w:cs="Arial"/>
          <w:sz w:val="22"/>
        </w:rPr>
        <w:t>que han experimentado en el periodo 2008-2012. Los resultados se muestran en la Tabla 2.</w:t>
      </w:r>
    </w:p>
    <w:p w:rsidR="001B6DDC" w:rsidRPr="006F21AF" w:rsidRDefault="001B6DDC">
      <w:pPr>
        <w:rPr>
          <w:rFonts w:ascii="Arial" w:hAnsi="Arial" w:cs="Arial"/>
        </w:rPr>
      </w:pPr>
    </w:p>
    <w:p w:rsidR="001B6DDC" w:rsidRPr="006F21AF" w:rsidRDefault="001B6DDC" w:rsidP="001B6DDC">
      <w:pPr>
        <w:pStyle w:val="Epgrafe"/>
        <w:keepNext/>
        <w:jc w:val="center"/>
        <w:rPr>
          <w:rFonts w:ascii="Arial" w:hAnsi="Arial" w:cs="Arial"/>
          <w:color w:val="auto"/>
        </w:rPr>
      </w:pPr>
      <w:r w:rsidRPr="006F21AF">
        <w:rPr>
          <w:rFonts w:ascii="Arial" w:hAnsi="Arial" w:cs="Arial"/>
          <w:color w:val="auto"/>
        </w:rPr>
        <w:t xml:space="preserve">Tabla </w:t>
      </w:r>
      <w:r w:rsidR="00C160A7" w:rsidRPr="006F21AF">
        <w:rPr>
          <w:rFonts w:ascii="Arial" w:hAnsi="Arial" w:cs="Arial"/>
          <w:color w:val="auto"/>
        </w:rPr>
        <w:fldChar w:fldCharType="begin"/>
      </w:r>
      <w:r w:rsidRPr="006F21AF">
        <w:rPr>
          <w:rFonts w:ascii="Arial" w:hAnsi="Arial" w:cs="Arial"/>
          <w:color w:val="auto"/>
        </w:rPr>
        <w:instrText xml:space="preserve"> SEQ Tabla \* ARABIC </w:instrText>
      </w:r>
      <w:r w:rsidR="00C160A7" w:rsidRPr="006F21AF">
        <w:rPr>
          <w:rFonts w:ascii="Arial" w:hAnsi="Arial" w:cs="Arial"/>
          <w:color w:val="auto"/>
        </w:rPr>
        <w:fldChar w:fldCharType="separate"/>
      </w:r>
      <w:r w:rsidR="00495D64">
        <w:rPr>
          <w:rFonts w:ascii="Arial" w:hAnsi="Arial" w:cs="Arial"/>
          <w:noProof/>
          <w:color w:val="auto"/>
        </w:rPr>
        <w:t>2</w:t>
      </w:r>
      <w:r w:rsidR="00C160A7" w:rsidRPr="006F21AF">
        <w:rPr>
          <w:rFonts w:ascii="Arial" w:hAnsi="Arial" w:cs="Arial"/>
          <w:color w:val="auto"/>
        </w:rPr>
        <w:fldChar w:fldCharType="end"/>
      </w:r>
      <w:r w:rsidRPr="006F21AF">
        <w:rPr>
          <w:rFonts w:ascii="Arial" w:hAnsi="Arial" w:cs="Arial"/>
          <w:color w:val="auto"/>
        </w:rPr>
        <w:t>: Ajuste por mínimos cuadrados del número de empleados atendiendo a su forma jurídica</w:t>
      </w:r>
    </w:p>
    <w:tbl>
      <w:tblPr>
        <w:tblStyle w:val="Tablaconcuadrcula"/>
        <w:tblW w:w="0" w:type="auto"/>
        <w:jc w:val="center"/>
        <w:tblInd w:w="392" w:type="dxa"/>
        <w:tblLook w:val="04A0"/>
      </w:tblPr>
      <w:tblGrid>
        <w:gridCol w:w="3828"/>
        <w:gridCol w:w="1217"/>
      </w:tblGrid>
      <w:tr w:rsidR="001B6DDC" w:rsidRPr="009867D2" w:rsidTr="008E0A53">
        <w:trPr>
          <w:jc w:val="center"/>
        </w:trPr>
        <w:tc>
          <w:tcPr>
            <w:tcW w:w="3828" w:type="dxa"/>
          </w:tcPr>
          <w:p w:rsidR="001B6DDC" w:rsidRPr="00940454" w:rsidRDefault="001B6DDC" w:rsidP="00602117">
            <w:pPr>
              <w:jc w:val="both"/>
              <w:rPr>
                <w:b/>
                <w:sz w:val="18"/>
              </w:rPr>
            </w:pPr>
            <w:r w:rsidRPr="00940454">
              <w:rPr>
                <w:b/>
                <w:sz w:val="18"/>
              </w:rPr>
              <w:t>Forma jurídica</w:t>
            </w:r>
          </w:p>
        </w:tc>
        <w:tc>
          <w:tcPr>
            <w:tcW w:w="1217" w:type="dxa"/>
          </w:tcPr>
          <w:p w:rsidR="001B6DDC" w:rsidRPr="00940454" w:rsidRDefault="001B6DDC" w:rsidP="00602117">
            <w:pPr>
              <w:jc w:val="center"/>
              <w:rPr>
                <w:b/>
                <w:i/>
                <w:sz w:val="18"/>
              </w:rPr>
            </w:pPr>
            <w:r w:rsidRPr="00940454">
              <w:rPr>
                <w:b/>
                <w:i/>
                <w:sz w:val="18"/>
              </w:rPr>
              <w:t>m</w:t>
            </w:r>
          </w:p>
        </w:tc>
      </w:tr>
      <w:tr w:rsidR="001B6DDC" w:rsidTr="008E0A53">
        <w:trPr>
          <w:jc w:val="center"/>
        </w:trPr>
        <w:tc>
          <w:tcPr>
            <w:tcW w:w="3828" w:type="dxa"/>
          </w:tcPr>
          <w:p w:rsidR="001B6DDC" w:rsidRPr="00940454" w:rsidRDefault="001B6DDC" w:rsidP="00602117">
            <w:pPr>
              <w:jc w:val="both"/>
              <w:rPr>
                <w:sz w:val="18"/>
              </w:rPr>
            </w:pPr>
            <w:r w:rsidRPr="00940454">
              <w:rPr>
                <w:sz w:val="18"/>
              </w:rPr>
              <w:t>Total trabajadores</w:t>
            </w:r>
          </w:p>
        </w:tc>
        <w:tc>
          <w:tcPr>
            <w:tcW w:w="1217" w:type="dxa"/>
          </w:tcPr>
          <w:p w:rsidR="001B6DDC" w:rsidRPr="00940454" w:rsidRDefault="00602117" w:rsidP="008E0A53">
            <w:pPr>
              <w:jc w:val="center"/>
              <w:rPr>
                <w:sz w:val="18"/>
              </w:rPr>
            </w:pPr>
            <w:r w:rsidRPr="00940454">
              <w:rPr>
                <w:sz w:val="18"/>
              </w:rPr>
              <w:t>-1,779</w:t>
            </w:r>
          </w:p>
        </w:tc>
      </w:tr>
      <w:tr w:rsidR="001B6DDC" w:rsidTr="008E0A53">
        <w:trPr>
          <w:jc w:val="center"/>
        </w:trPr>
        <w:tc>
          <w:tcPr>
            <w:tcW w:w="3828" w:type="dxa"/>
          </w:tcPr>
          <w:p w:rsidR="001B6DDC" w:rsidRPr="00940454" w:rsidRDefault="001B6DDC" w:rsidP="00602117">
            <w:pPr>
              <w:jc w:val="both"/>
              <w:rPr>
                <w:sz w:val="18"/>
              </w:rPr>
            </w:pPr>
            <w:r w:rsidRPr="00940454">
              <w:rPr>
                <w:sz w:val="18"/>
              </w:rPr>
              <w:t>Sociedades anónimas</w:t>
            </w:r>
          </w:p>
        </w:tc>
        <w:tc>
          <w:tcPr>
            <w:tcW w:w="1217" w:type="dxa"/>
          </w:tcPr>
          <w:p w:rsidR="001B6DDC" w:rsidRPr="00940454" w:rsidRDefault="00602117" w:rsidP="008E0A53">
            <w:pPr>
              <w:jc w:val="center"/>
              <w:rPr>
                <w:sz w:val="18"/>
              </w:rPr>
            </w:pPr>
            <w:r w:rsidRPr="00940454">
              <w:rPr>
                <w:sz w:val="18"/>
              </w:rPr>
              <w:t>-1,1525</w:t>
            </w:r>
          </w:p>
        </w:tc>
      </w:tr>
      <w:tr w:rsidR="001B6DDC" w:rsidTr="008E0A53">
        <w:trPr>
          <w:jc w:val="center"/>
        </w:trPr>
        <w:tc>
          <w:tcPr>
            <w:tcW w:w="3828" w:type="dxa"/>
          </w:tcPr>
          <w:p w:rsidR="001B6DDC" w:rsidRPr="00940454" w:rsidRDefault="001B6DDC" w:rsidP="00602117">
            <w:pPr>
              <w:jc w:val="both"/>
              <w:rPr>
                <w:sz w:val="18"/>
              </w:rPr>
            </w:pPr>
            <w:r w:rsidRPr="00940454">
              <w:rPr>
                <w:sz w:val="18"/>
              </w:rPr>
              <w:t>Sociedades de Responsabilidad Limitada</w:t>
            </w:r>
          </w:p>
        </w:tc>
        <w:tc>
          <w:tcPr>
            <w:tcW w:w="1217" w:type="dxa"/>
          </w:tcPr>
          <w:p w:rsidR="001B6DDC" w:rsidRPr="00940454" w:rsidRDefault="00602117" w:rsidP="008E0A53">
            <w:pPr>
              <w:jc w:val="center"/>
              <w:rPr>
                <w:sz w:val="18"/>
              </w:rPr>
            </w:pPr>
            <w:r w:rsidRPr="00940454">
              <w:rPr>
                <w:sz w:val="18"/>
              </w:rPr>
              <w:t>-2,00064</w:t>
            </w:r>
          </w:p>
        </w:tc>
      </w:tr>
      <w:tr w:rsidR="001B6DDC" w:rsidTr="008E0A53">
        <w:trPr>
          <w:jc w:val="center"/>
        </w:trPr>
        <w:tc>
          <w:tcPr>
            <w:tcW w:w="3828" w:type="dxa"/>
          </w:tcPr>
          <w:p w:rsidR="001B6DDC" w:rsidRPr="00940454" w:rsidRDefault="008E0A53" w:rsidP="00602117">
            <w:pPr>
              <w:jc w:val="both"/>
              <w:rPr>
                <w:sz w:val="18"/>
              </w:rPr>
            </w:pPr>
            <w:r w:rsidRPr="00940454">
              <w:rPr>
                <w:sz w:val="18"/>
              </w:rPr>
              <w:t>Coop</w:t>
            </w:r>
            <w:r w:rsidR="00602117" w:rsidRPr="00940454">
              <w:rPr>
                <w:sz w:val="18"/>
              </w:rPr>
              <w:t>erativas</w:t>
            </w:r>
          </w:p>
        </w:tc>
        <w:tc>
          <w:tcPr>
            <w:tcW w:w="1217" w:type="dxa"/>
          </w:tcPr>
          <w:p w:rsidR="001B6DDC" w:rsidRPr="00940454" w:rsidRDefault="00602117" w:rsidP="008E0A53">
            <w:pPr>
              <w:jc w:val="center"/>
              <w:rPr>
                <w:sz w:val="18"/>
              </w:rPr>
            </w:pPr>
            <w:r w:rsidRPr="00940454">
              <w:rPr>
                <w:sz w:val="18"/>
              </w:rPr>
              <w:t>-0,5696</w:t>
            </w:r>
          </w:p>
        </w:tc>
      </w:tr>
    </w:tbl>
    <w:p w:rsidR="001B6DDC" w:rsidRDefault="001B6DDC"/>
    <w:p w:rsidR="00602117" w:rsidRPr="006F21AF" w:rsidRDefault="00602117" w:rsidP="002A2D0C">
      <w:pPr>
        <w:jc w:val="both"/>
        <w:rPr>
          <w:rFonts w:ascii="Arial" w:hAnsi="Arial" w:cs="Arial"/>
          <w:sz w:val="22"/>
        </w:rPr>
      </w:pPr>
      <w:r w:rsidRPr="006F21AF">
        <w:rPr>
          <w:rFonts w:ascii="Arial" w:hAnsi="Arial" w:cs="Arial"/>
          <w:sz w:val="22"/>
        </w:rPr>
        <w:t xml:space="preserve">De los datos anteriores se desprende que la tasa de reducción de trabajadores en las Sociedades cooperativas en el periodo 2008-2012 es significativamente menor a la que presentan el resto de entidades, especialmente en comparación </w:t>
      </w:r>
      <w:r w:rsidR="002A2D0C" w:rsidRPr="006F21AF">
        <w:rPr>
          <w:rFonts w:ascii="Arial" w:hAnsi="Arial" w:cs="Arial"/>
          <w:sz w:val="22"/>
        </w:rPr>
        <w:t>con las Sociedades de Responsabilidad Limitada que presentan en el periodo considerado la tasa de destrucción de empleo más elevada.</w:t>
      </w:r>
    </w:p>
    <w:p w:rsidR="00E146E4" w:rsidRPr="006F21AF" w:rsidRDefault="00E146E4" w:rsidP="002A2D0C">
      <w:pPr>
        <w:jc w:val="both"/>
        <w:rPr>
          <w:rFonts w:ascii="Arial" w:hAnsi="Arial" w:cs="Arial"/>
          <w:sz w:val="22"/>
        </w:rPr>
      </w:pPr>
    </w:p>
    <w:p w:rsidR="00E146E4" w:rsidRPr="006F21AF" w:rsidRDefault="00E146E4" w:rsidP="002A2D0C">
      <w:pPr>
        <w:jc w:val="both"/>
        <w:rPr>
          <w:rFonts w:ascii="Arial" w:hAnsi="Arial" w:cs="Arial"/>
          <w:sz w:val="22"/>
        </w:rPr>
      </w:pPr>
      <w:r w:rsidRPr="006F21AF">
        <w:rPr>
          <w:rFonts w:ascii="Arial" w:hAnsi="Arial" w:cs="Arial"/>
          <w:sz w:val="22"/>
        </w:rPr>
        <w:t xml:space="preserve">Este mantenimiento de los puestos de trabajo está directamente relacionado con los principios que rigen a la sociedades cooperativas, los cuales les llevan a mantener una responsabilidad social de forma intrínseca, con un elevado compromiso tanto con la sociedad como con el territorio. Adicionalmente la conjugación en un misma persona de la figura de socio y trabajador, como en las cooperativas de trabajo asociado, hace que las decisiones en tiempos de crisis difieran de las que </w:t>
      </w:r>
      <w:r w:rsidR="00C427DF" w:rsidRPr="006F21AF">
        <w:rPr>
          <w:rFonts w:ascii="Arial" w:hAnsi="Arial" w:cs="Arial"/>
          <w:sz w:val="22"/>
        </w:rPr>
        <w:t xml:space="preserve">se </w:t>
      </w:r>
      <w:r w:rsidRPr="006F21AF">
        <w:rPr>
          <w:rFonts w:ascii="Arial" w:hAnsi="Arial" w:cs="Arial"/>
          <w:sz w:val="22"/>
        </w:rPr>
        <w:t>toman en empresas capitalistas, optando en la mayoría de casos por la disminución de retribuciones frente a la posibilidad de reducir puestos de trabajo.</w:t>
      </w:r>
    </w:p>
    <w:p w:rsidR="002A2D0C" w:rsidRPr="006F21AF" w:rsidRDefault="002A2D0C" w:rsidP="002A2D0C">
      <w:pPr>
        <w:jc w:val="both"/>
        <w:rPr>
          <w:rFonts w:ascii="Arial" w:hAnsi="Arial" w:cs="Arial"/>
          <w:sz w:val="22"/>
        </w:rPr>
      </w:pPr>
    </w:p>
    <w:p w:rsidR="002A2D0C" w:rsidRPr="00774F40" w:rsidRDefault="002A2D0C" w:rsidP="002A2D0C">
      <w:pPr>
        <w:jc w:val="both"/>
        <w:rPr>
          <w:sz w:val="22"/>
        </w:rPr>
      </w:pPr>
    </w:p>
    <w:p w:rsidR="00940454" w:rsidRPr="006F21AF" w:rsidRDefault="00940454" w:rsidP="00940454">
      <w:pPr>
        <w:pStyle w:val="Prrafodelista"/>
        <w:numPr>
          <w:ilvl w:val="0"/>
          <w:numId w:val="2"/>
        </w:numPr>
        <w:rPr>
          <w:rFonts w:ascii="Arial" w:hAnsi="Arial" w:cs="Arial"/>
          <w:b/>
          <w:sz w:val="22"/>
        </w:rPr>
      </w:pPr>
      <w:r w:rsidRPr="006F21AF">
        <w:rPr>
          <w:rFonts w:ascii="Arial" w:hAnsi="Arial" w:cs="Arial"/>
          <w:b/>
          <w:sz w:val="22"/>
        </w:rPr>
        <w:t>Comentarios a modo de conclusión</w:t>
      </w:r>
    </w:p>
    <w:p w:rsidR="002A2D0C" w:rsidRPr="006F21AF" w:rsidRDefault="002A2D0C" w:rsidP="002A2D0C">
      <w:pPr>
        <w:jc w:val="both"/>
        <w:rPr>
          <w:rFonts w:ascii="Arial" w:hAnsi="Arial" w:cs="Arial"/>
          <w:sz w:val="22"/>
        </w:rPr>
      </w:pPr>
    </w:p>
    <w:p w:rsidR="002A2D0C" w:rsidRPr="006F21AF" w:rsidRDefault="002A2D0C" w:rsidP="002A2D0C">
      <w:pPr>
        <w:jc w:val="both"/>
        <w:rPr>
          <w:rFonts w:ascii="Arial" w:hAnsi="Arial" w:cs="Arial"/>
          <w:sz w:val="22"/>
        </w:rPr>
      </w:pPr>
      <w:r w:rsidRPr="006F21AF">
        <w:rPr>
          <w:rFonts w:ascii="Arial" w:hAnsi="Arial" w:cs="Arial"/>
          <w:sz w:val="22"/>
        </w:rPr>
        <w:t xml:space="preserve">Tal como se ha puesto de manifiesto a través de los datos del Ministerio de </w:t>
      </w:r>
      <w:r w:rsidR="00C427DF" w:rsidRPr="006F21AF">
        <w:rPr>
          <w:rFonts w:ascii="Arial" w:hAnsi="Arial" w:cs="Arial"/>
          <w:sz w:val="22"/>
        </w:rPr>
        <w:t>Empleo y Seguridad Social</w:t>
      </w:r>
      <w:r w:rsidRPr="006F21AF">
        <w:rPr>
          <w:rFonts w:ascii="Arial" w:hAnsi="Arial" w:cs="Arial"/>
          <w:sz w:val="22"/>
        </w:rPr>
        <w:t xml:space="preserve">, en España la destrucción de empleo ha sido en el último cuatrienio </w:t>
      </w:r>
      <w:r w:rsidR="00BD5F0F" w:rsidRPr="006F21AF">
        <w:rPr>
          <w:rFonts w:ascii="Arial" w:hAnsi="Arial" w:cs="Arial"/>
          <w:sz w:val="22"/>
        </w:rPr>
        <w:t xml:space="preserve">continua y generalizada en todos los sectores empresariales y formas jurídicas existentes. En este periodo (2008-2012) se ha registrado una disminución de 6.755.937 trabajadores afiliados a la Seguridad Social, que </w:t>
      </w:r>
      <w:r w:rsidR="009F69CD" w:rsidRPr="006F21AF">
        <w:rPr>
          <w:rFonts w:ascii="Arial" w:hAnsi="Arial" w:cs="Arial"/>
          <w:sz w:val="22"/>
        </w:rPr>
        <w:t>ha sido especialmente acusada</w:t>
      </w:r>
      <w:r w:rsidR="00BD5F0F" w:rsidRPr="006F21AF">
        <w:rPr>
          <w:rFonts w:ascii="Arial" w:hAnsi="Arial" w:cs="Arial"/>
          <w:sz w:val="22"/>
        </w:rPr>
        <w:t xml:space="preserve"> en las Sociedades de Responsabilidad Limitada (más del 51% de los trabajadores).</w:t>
      </w:r>
    </w:p>
    <w:p w:rsidR="00BD5F0F" w:rsidRPr="006F21AF" w:rsidRDefault="00BD5F0F" w:rsidP="002A2D0C">
      <w:pPr>
        <w:jc w:val="both"/>
        <w:rPr>
          <w:rFonts w:ascii="Arial" w:hAnsi="Arial" w:cs="Arial"/>
          <w:sz w:val="22"/>
        </w:rPr>
      </w:pPr>
    </w:p>
    <w:p w:rsidR="00C427DF" w:rsidRPr="006F21AF" w:rsidRDefault="00BD5F0F" w:rsidP="002A2D0C">
      <w:pPr>
        <w:jc w:val="both"/>
        <w:rPr>
          <w:rFonts w:ascii="Arial" w:hAnsi="Arial" w:cs="Arial"/>
          <w:sz w:val="22"/>
        </w:rPr>
      </w:pPr>
      <w:r w:rsidRPr="006F21AF">
        <w:rPr>
          <w:rFonts w:ascii="Arial" w:hAnsi="Arial" w:cs="Arial"/>
          <w:sz w:val="22"/>
        </w:rPr>
        <w:t>Las sociedades cooperativas no han permanecido ajenas a este proceso y se han visto afectadas, reduciéndose tanto el número de trabajadores como el de entidades en activo. Sin embargo cabe señalar que la velocidad de destrucción de emp</w:t>
      </w:r>
      <w:r w:rsidR="009F69CD" w:rsidRPr="006F21AF">
        <w:rPr>
          <w:rFonts w:ascii="Arial" w:hAnsi="Arial" w:cs="Arial"/>
          <w:sz w:val="22"/>
        </w:rPr>
        <w:t xml:space="preserve">leo en este tipo de empresa es </w:t>
      </w:r>
      <w:r w:rsidRPr="006F21AF">
        <w:rPr>
          <w:rFonts w:ascii="Arial" w:hAnsi="Arial" w:cs="Arial"/>
          <w:sz w:val="22"/>
        </w:rPr>
        <w:t>l</w:t>
      </w:r>
      <w:r w:rsidR="009F69CD" w:rsidRPr="006F21AF">
        <w:rPr>
          <w:rFonts w:ascii="Arial" w:hAnsi="Arial" w:cs="Arial"/>
          <w:sz w:val="22"/>
        </w:rPr>
        <w:t>a más baja</w:t>
      </w:r>
      <w:r w:rsidRPr="006F21AF">
        <w:rPr>
          <w:rFonts w:ascii="Arial" w:hAnsi="Arial" w:cs="Arial"/>
          <w:sz w:val="22"/>
        </w:rPr>
        <w:t xml:space="preserve"> </w:t>
      </w:r>
      <w:r w:rsidR="009F69CD" w:rsidRPr="006F21AF">
        <w:rPr>
          <w:rFonts w:ascii="Arial" w:hAnsi="Arial" w:cs="Arial"/>
          <w:sz w:val="22"/>
        </w:rPr>
        <w:t>entre las principales formas jurídicas, representado aproximadamente un cuarto de la tasa que ostentan las S</w:t>
      </w:r>
      <w:r w:rsidR="009F0C1C" w:rsidRPr="006F21AF">
        <w:rPr>
          <w:rFonts w:ascii="Arial" w:hAnsi="Arial" w:cs="Arial"/>
          <w:sz w:val="22"/>
        </w:rPr>
        <w:t xml:space="preserve">ociedades de Responsabilidad </w:t>
      </w:r>
      <w:r w:rsidR="009F69CD" w:rsidRPr="006F21AF">
        <w:rPr>
          <w:rFonts w:ascii="Arial" w:hAnsi="Arial" w:cs="Arial"/>
          <w:sz w:val="22"/>
        </w:rPr>
        <w:t>L</w:t>
      </w:r>
      <w:r w:rsidR="009F0C1C" w:rsidRPr="006F21AF">
        <w:rPr>
          <w:rFonts w:ascii="Arial" w:hAnsi="Arial" w:cs="Arial"/>
          <w:sz w:val="22"/>
        </w:rPr>
        <w:t>imitada</w:t>
      </w:r>
      <w:r w:rsidR="009F69CD" w:rsidRPr="006F21AF">
        <w:rPr>
          <w:rFonts w:ascii="Arial" w:hAnsi="Arial" w:cs="Arial"/>
          <w:sz w:val="22"/>
        </w:rPr>
        <w:t xml:space="preserve">. </w:t>
      </w:r>
    </w:p>
    <w:p w:rsidR="00C427DF" w:rsidRPr="006F21AF" w:rsidRDefault="00C427DF" w:rsidP="002A2D0C">
      <w:pPr>
        <w:jc w:val="both"/>
        <w:rPr>
          <w:rFonts w:ascii="Arial" w:hAnsi="Arial" w:cs="Arial"/>
          <w:sz w:val="22"/>
        </w:rPr>
      </w:pPr>
    </w:p>
    <w:p w:rsidR="00BD5F0F" w:rsidRPr="006F21AF" w:rsidRDefault="009F69CD" w:rsidP="002A2D0C">
      <w:pPr>
        <w:jc w:val="both"/>
        <w:rPr>
          <w:rFonts w:ascii="Arial" w:hAnsi="Arial" w:cs="Arial"/>
          <w:sz w:val="22"/>
        </w:rPr>
      </w:pPr>
      <w:r w:rsidRPr="006F21AF">
        <w:rPr>
          <w:rFonts w:ascii="Arial" w:hAnsi="Arial" w:cs="Arial"/>
          <w:sz w:val="22"/>
        </w:rPr>
        <w:t xml:space="preserve">En </w:t>
      </w:r>
      <w:r w:rsidR="009F0C1C" w:rsidRPr="006F21AF">
        <w:rPr>
          <w:rFonts w:ascii="Arial" w:hAnsi="Arial" w:cs="Arial"/>
          <w:sz w:val="22"/>
        </w:rPr>
        <w:t>relación a la evolución del</w:t>
      </w:r>
      <w:r w:rsidRPr="006F21AF">
        <w:rPr>
          <w:rFonts w:ascii="Arial" w:hAnsi="Arial" w:cs="Arial"/>
          <w:sz w:val="22"/>
        </w:rPr>
        <w:t xml:space="preserve"> número de entidades </w:t>
      </w:r>
      <w:r w:rsidR="009F0C1C" w:rsidRPr="006F21AF">
        <w:rPr>
          <w:rFonts w:ascii="Arial" w:hAnsi="Arial" w:cs="Arial"/>
          <w:sz w:val="22"/>
        </w:rPr>
        <w:t xml:space="preserve">no se han puesto de manifiesto </w:t>
      </w:r>
      <w:r w:rsidR="00DA25A1" w:rsidRPr="006F21AF">
        <w:rPr>
          <w:rFonts w:ascii="Arial" w:hAnsi="Arial" w:cs="Arial"/>
          <w:sz w:val="22"/>
        </w:rPr>
        <w:t>diferencias notorias frente a las SA o SL, no obstante no hay que olvidar que esta cifra de disoluciones engloba a los procesos de integración que se están llevando a cabo en la actualidad, impulsados tanto desde el ámbito representativo como desde las Administraciones Públicas, ya que lo</w:t>
      </w:r>
      <w:r w:rsidRPr="006F21AF">
        <w:rPr>
          <w:rFonts w:ascii="Arial" w:hAnsi="Arial" w:cs="Arial"/>
          <w:sz w:val="22"/>
        </w:rPr>
        <w:t xml:space="preserve">s procesos </w:t>
      </w:r>
      <w:r w:rsidR="00DA25A1" w:rsidRPr="006F21AF">
        <w:rPr>
          <w:rFonts w:ascii="Arial" w:hAnsi="Arial" w:cs="Arial"/>
          <w:sz w:val="22"/>
        </w:rPr>
        <w:t>de fusión entre cooperativas</w:t>
      </w:r>
      <w:r w:rsidRPr="006F21AF">
        <w:rPr>
          <w:rFonts w:ascii="Arial" w:hAnsi="Arial" w:cs="Arial"/>
          <w:sz w:val="22"/>
        </w:rPr>
        <w:t xml:space="preserve"> permiten mantener su idiosincrasia al tiempo que </w:t>
      </w:r>
      <w:r w:rsidR="00DA25A1" w:rsidRPr="006F21AF">
        <w:rPr>
          <w:rFonts w:ascii="Arial" w:hAnsi="Arial" w:cs="Arial"/>
          <w:sz w:val="22"/>
        </w:rPr>
        <w:t xml:space="preserve">conducen a una mejora </w:t>
      </w:r>
      <w:r w:rsidR="00C427DF" w:rsidRPr="006F21AF">
        <w:rPr>
          <w:rFonts w:ascii="Arial" w:hAnsi="Arial" w:cs="Arial"/>
          <w:sz w:val="22"/>
        </w:rPr>
        <w:t>de</w:t>
      </w:r>
      <w:r w:rsidRPr="006F21AF">
        <w:rPr>
          <w:rFonts w:ascii="Arial" w:hAnsi="Arial" w:cs="Arial"/>
          <w:sz w:val="22"/>
        </w:rPr>
        <w:t xml:space="preserve"> la </w:t>
      </w:r>
      <w:r w:rsidR="00C427DF" w:rsidRPr="006F21AF">
        <w:rPr>
          <w:rFonts w:ascii="Arial" w:hAnsi="Arial" w:cs="Arial"/>
          <w:sz w:val="22"/>
        </w:rPr>
        <w:t>eficiencia</w:t>
      </w:r>
      <w:r w:rsidRPr="006F21AF">
        <w:rPr>
          <w:rFonts w:ascii="Arial" w:hAnsi="Arial" w:cs="Arial"/>
          <w:sz w:val="22"/>
        </w:rPr>
        <w:t xml:space="preserve"> de las entidades implicadas.</w:t>
      </w:r>
    </w:p>
    <w:p w:rsidR="009F69CD" w:rsidRPr="006F21AF" w:rsidRDefault="009F69CD" w:rsidP="002A2D0C">
      <w:pPr>
        <w:jc w:val="both"/>
        <w:rPr>
          <w:rFonts w:ascii="Arial" w:hAnsi="Arial" w:cs="Arial"/>
          <w:sz w:val="22"/>
        </w:rPr>
      </w:pPr>
    </w:p>
    <w:p w:rsidR="009F69CD" w:rsidRPr="006F21AF" w:rsidRDefault="009F69CD" w:rsidP="002A2D0C">
      <w:pPr>
        <w:jc w:val="both"/>
        <w:rPr>
          <w:rFonts w:ascii="Arial" w:hAnsi="Arial" w:cs="Arial"/>
          <w:sz w:val="22"/>
        </w:rPr>
      </w:pPr>
      <w:r w:rsidRPr="006F21AF">
        <w:rPr>
          <w:rFonts w:ascii="Arial" w:hAnsi="Arial" w:cs="Arial"/>
          <w:sz w:val="22"/>
        </w:rPr>
        <w:lastRenderedPageBreak/>
        <w:t>En esta línea, debe recordarse que</w:t>
      </w:r>
      <w:r w:rsidR="001B7979" w:rsidRPr="006F21AF">
        <w:rPr>
          <w:rFonts w:ascii="Arial" w:hAnsi="Arial" w:cs="Arial"/>
          <w:sz w:val="22"/>
        </w:rPr>
        <w:t xml:space="preserve"> en el caso de las cooperativas agroalimentarias</w:t>
      </w:r>
      <w:r w:rsidRPr="006F21AF">
        <w:rPr>
          <w:rFonts w:ascii="Arial" w:hAnsi="Arial" w:cs="Arial"/>
          <w:sz w:val="22"/>
        </w:rPr>
        <w:t xml:space="preserve"> la dimensión constituye uno de los elementos clave para la mejora de la competitividad en las cooperativas, junto con </w:t>
      </w:r>
      <w:r w:rsidR="00C427DF" w:rsidRPr="006F21AF">
        <w:rPr>
          <w:rFonts w:ascii="Arial" w:hAnsi="Arial" w:cs="Arial"/>
          <w:sz w:val="22"/>
        </w:rPr>
        <w:t xml:space="preserve">otros procesos que ineludiblemente deben acometer sin pausa y que en conjunción con otros factores tales como </w:t>
      </w:r>
      <w:r w:rsidRPr="006F21AF">
        <w:rPr>
          <w:rFonts w:ascii="Arial" w:hAnsi="Arial" w:cs="Arial"/>
          <w:sz w:val="22"/>
        </w:rPr>
        <w:t>la for</w:t>
      </w:r>
      <w:r w:rsidR="001B7979" w:rsidRPr="006F21AF">
        <w:rPr>
          <w:rFonts w:ascii="Arial" w:hAnsi="Arial" w:cs="Arial"/>
          <w:sz w:val="22"/>
        </w:rPr>
        <w:t xml:space="preserve">mación, </w:t>
      </w:r>
      <w:r w:rsidR="003C0069" w:rsidRPr="006F21AF">
        <w:rPr>
          <w:rFonts w:ascii="Arial" w:hAnsi="Arial" w:cs="Arial"/>
          <w:sz w:val="22"/>
        </w:rPr>
        <w:t xml:space="preserve">la diversificación, </w:t>
      </w:r>
      <w:r w:rsidR="001B7979" w:rsidRPr="006F21AF">
        <w:rPr>
          <w:rFonts w:ascii="Arial" w:hAnsi="Arial" w:cs="Arial"/>
          <w:sz w:val="22"/>
        </w:rPr>
        <w:t xml:space="preserve">la internacionalización y </w:t>
      </w:r>
      <w:r w:rsidR="00C427DF" w:rsidRPr="006F21AF">
        <w:rPr>
          <w:rFonts w:ascii="Arial" w:hAnsi="Arial" w:cs="Arial"/>
          <w:sz w:val="22"/>
        </w:rPr>
        <w:t xml:space="preserve">la </w:t>
      </w:r>
      <w:r w:rsidR="001B7979" w:rsidRPr="006F21AF">
        <w:rPr>
          <w:rFonts w:ascii="Arial" w:hAnsi="Arial" w:cs="Arial"/>
          <w:sz w:val="22"/>
        </w:rPr>
        <w:t>orientación al mercado</w:t>
      </w:r>
      <w:r w:rsidR="00C427DF" w:rsidRPr="006F21AF">
        <w:rPr>
          <w:rFonts w:ascii="Arial" w:hAnsi="Arial" w:cs="Arial"/>
          <w:sz w:val="22"/>
        </w:rPr>
        <w:t xml:space="preserve"> conforman los </w:t>
      </w:r>
      <w:r w:rsidR="003C0069" w:rsidRPr="006F21AF">
        <w:rPr>
          <w:rFonts w:ascii="Arial" w:hAnsi="Arial" w:cs="Arial"/>
          <w:sz w:val="22"/>
        </w:rPr>
        <w:t>cinco</w:t>
      </w:r>
      <w:r w:rsidR="00C427DF" w:rsidRPr="006F21AF">
        <w:rPr>
          <w:rFonts w:ascii="Arial" w:hAnsi="Arial" w:cs="Arial"/>
          <w:sz w:val="22"/>
        </w:rPr>
        <w:t xml:space="preserve"> pilares básicos de competitividad necesarios para poder abordar el futuro con garantías de supervivencia </w:t>
      </w:r>
      <w:r w:rsidR="001B7979" w:rsidRPr="006F21AF">
        <w:rPr>
          <w:rFonts w:ascii="Arial" w:hAnsi="Arial" w:cs="Arial"/>
          <w:sz w:val="22"/>
        </w:rPr>
        <w:t xml:space="preserve"> (Server et al, 2011).</w:t>
      </w:r>
    </w:p>
    <w:p w:rsidR="00940454" w:rsidRPr="006F21AF" w:rsidRDefault="00940454" w:rsidP="002A2D0C">
      <w:pPr>
        <w:jc w:val="both"/>
        <w:rPr>
          <w:rFonts w:ascii="Arial" w:hAnsi="Arial" w:cs="Arial"/>
          <w:sz w:val="22"/>
        </w:rPr>
      </w:pPr>
    </w:p>
    <w:p w:rsidR="00774F40" w:rsidRPr="006F21AF" w:rsidRDefault="00774F40" w:rsidP="002A2D0C">
      <w:pPr>
        <w:jc w:val="both"/>
        <w:rPr>
          <w:rFonts w:ascii="Arial" w:hAnsi="Arial" w:cs="Arial"/>
          <w:sz w:val="22"/>
        </w:rPr>
      </w:pPr>
    </w:p>
    <w:p w:rsidR="00940454" w:rsidRPr="006F21AF" w:rsidRDefault="00940454" w:rsidP="00940454">
      <w:pPr>
        <w:pStyle w:val="Prrafodelista"/>
        <w:numPr>
          <w:ilvl w:val="0"/>
          <w:numId w:val="2"/>
        </w:numPr>
        <w:rPr>
          <w:rFonts w:ascii="Arial" w:hAnsi="Arial" w:cs="Arial"/>
          <w:b/>
          <w:sz w:val="22"/>
        </w:rPr>
      </w:pPr>
      <w:r w:rsidRPr="006F21AF">
        <w:rPr>
          <w:rFonts w:ascii="Arial" w:hAnsi="Arial" w:cs="Arial"/>
          <w:b/>
          <w:sz w:val="22"/>
        </w:rPr>
        <w:t xml:space="preserve">Referencias </w:t>
      </w:r>
    </w:p>
    <w:p w:rsidR="00774F40" w:rsidRPr="006F21AF" w:rsidRDefault="00774F40" w:rsidP="002A2D0C">
      <w:pPr>
        <w:jc w:val="both"/>
        <w:rPr>
          <w:rFonts w:ascii="Arial" w:hAnsi="Arial" w:cs="Arial"/>
          <w:sz w:val="22"/>
        </w:rPr>
      </w:pPr>
    </w:p>
    <w:p w:rsidR="00A30434" w:rsidRPr="006F21AF" w:rsidRDefault="00AD4B27" w:rsidP="00135771">
      <w:pPr>
        <w:pStyle w:val="Prrafodelista"/>
        <w:numPr>
          <w:ilvl w:val="0"/>
          <w:numId w:val="1"/>
        </w:numPr>
        <w:jc w:val="both"/>
        <w:rPr>
          <w:rFonts w:ascii="Arial" w:hAnsi="Arial" w:cs="Arial"/>
          <w:sz w:val="22"/>
        </w:rPr>
      </w:pPr>
      <w:r w:rsidRPr="006F21AF">
        <w:rPr>
          <w:rFonts w:ascii="Arial" w:hAnsi="Arial" w:cs="Arial"/>
          <w:sz w:val="22"/>
        </w:rPr>
        <w:t xml:space="preserve">Calderón Milán, B. </w:t>
      </w:r>
      <w:r w:rsidR="00C427DF" w:rsidRPr="006F21AF">
        <w:rPr>
          <w:rFonts w:ascii="Arial" w:hAnsi="Arial" w:cs="Arial"/>
          <w:sz w:val="22"/>
        </w:rPr>
        <w:t>y</w:t>
      </w:r>
      <w:r w:rsidRPr="006F21AF">
        <w:rPr>
          <w:rFonts w:ascii="Arial" w:hAnsi="Arial" w:cs="Arial"/>
          <w:sz w:val="22"/>
        </w:rPr>
        <w:t xml:space="preserve"> Calderón Milán, M.J.</w:t>
      </w:r>
      <w:r w:rsidR="00404943" w:rsidRPr="006F21AF">
        <w:rPr>
          <w:rFonts w:ascii="Arial" w:hAnsi="Arial" w:cs="Arial"/>
          <w:sz w:val="22"/>
        </w:rPr>
        <w:t xml:space="preserve"> (2012)</w:t>
      </w:r>
      <w:r w:rsidRPr="006F21AF">
        <w:rPr>
          <w:rFonts w:ascii="Arial" w:hAnsi="Arial" w:cs="Arial"/>
          <w:sz w:val="22"/>
        </w:rPr>
        <w:t xml:space="preserve"> </w:t>
      </w:r>
      <w:r w:rsidR="00404943" w:rsidRPr="006F21AF">
        <w:rPr>
          <w:rFonts w:ascii="Arial" w:hAnsi="Arial" w:cs="Arial"/>
          <w:sz w:val="22"/>
        </w:rPr>
        <w:t>Calidad y flexibilidad de empleo en las cooperativas. Conferencia “</w:t>
      </w:r>
      <w:r w:rsidR="00C427DF" w:rsidRPr="006F21AF">
        <w:rPr>
          <w:rFonts w:ascii="Arial" w:hAnsi="Arial" w:cs="Arial"/>
          <w:sz w:val="22"/>
        </w:rPr>
        <w:t>D</w:t>
      </w:r>
      <w:r w:rsidR="00404943" w:rsidRPr="006F21AF">
        <w:rPr>
          <w:rFonts w:ascii="Arial" w:hAnsi="Arial" w:cs="Arial"/>
          <w:sz w:val="22"/>
        </w:rPr>
        <w:t>esafíos de futuro para las cooperativas de consumo”. Bilbao</w:t>
      </w:r>
    </w:p>
    <w:p w:rsidR="00774F40" w:rsidRPr="006F21AF" w:rsidRDefault="00404943" w:rsidP="00135771">
      <w:pPr>
        <w:pStyle w:val="Prrafodelista"/>
        <w:numPr>
          <w:ilvl w:val="0"/>
          <w:numId w:val="1"/>
        </w:numPr>
        <w:jc w:val="both"/>
        <w:rPr>
          <w:rFonts w:ascii="Arial" w:hAnsi="Arial" w:cs="Arial"/>
          <w:sz w:val="22"/>
          <w:lang w:val="es-ES"/>
        </w:rPr>
      </w:pPr>
      <w:r w:rsidRPr="006F21AF">
        <w:rPr>
          <w:rFonts w:ascii="Arial" w:hAnsi="Arial" w:cs="Arial"/>
          <w:sz w:val="22"/>
          <w:lang w:val="es-ES"/>
        </w:rPr>
        <w:t xml:space="preserve">Díaz, M. y </w:t>
      </w:r>
      <w:proofErr w:type="spellStart"/>
      <w:r w:rsidRPr="006F21AF">
        <w:rPr>
          <w:rFonts w:ascii="Arial" w:hAnsi="Arial" w:cs="Arial"/>
          <w:sz w:val="22"/>
          <w:lang w:val="es-ES"/>
        </w:rPr>
        <w:t>Marcuello</w:t>
      </w:r>
      <w:proofErr w:type="spellEnd"/>
      <w:r w:rsidRPr="006F21AF">
        <w:rPr>
          <w:rFonts w:ascii="Arial" w:hAnsi="Arial" w:cs="Arial"/>
          <w:sz w:val="22"/>
          <w:lang w:val="es-ES"/>
        </w:rPr>
        <w:t xml:space="preserve">, C. (2010): Impacto económico de las cooperativas. La generación de empleo en las sociedades cooperativas y su relación con el PIB, CIRIEC-España Revista de Economía Pública Social y Cooperativa, 67, </w:t>
      </w:r>
      <w:proofErr w:type="spellStart"/>
      <w:r w:rsidRPr="006F21AF">
        <w:rPr>
          <w:rFonts w:ascii="Arial" w:hAnsi="Arial" w:cs="Arial"/>
          <w:sz w:val="22"/>
          <w:lang w:val="es-ES"/>
        </w:rPr>
        <w:t>pp</w:t>
      </w:r>
      <w:proofErr w:type="spellEnd"/>
      <w:r w:rsidRPr="006F21AF">
        <w:rPr>
          <w:rFonts w:ascii="Arial" w:hAnsi="Arial" w:cs="Arial"/>
          <w:sz w:val="22"/>
          <w:lang w:val="es-ES"/>
        </w:rPr>
        <w:t xml:space="preserve"> 23-44.</w:t>
      </w:r>
    </w:p>
    <w:p w:rsidR="00A04E91" w:rsidRPr="006F21AF" w:rsidRDefault="00135771" w:rsidP="00A04E91">
      <w:pPr>
        <w:pStyle w:val="Prrafodelista"/>
        <w:numPr>
          <w:ilvl w:val="0"/>
          <w:numId w:val="1"/>
        </w:numPr>
        <w:jc w:val="both"/>
        <w:rPr>
          <w:rFonts w:ascii="Arial" w:hAnsi="Arial" w:cs="Arial"/>
          <w:sz w:val="22"/>
        </w:rPr>
      </w:pPr>
      <w:r w:rsidRPr="006F21AF">
        <w:rPr>
          <w:rFonts w:ascii="Arial" w:hAnsi="Arial" w:cs="Arial"/>
          <w:sz w:val="22"/>
        </w:rPr>
        <w:t xml:space="preserve">Elio, E. (2012). </w:t>
      </w:r>
      <w:r w:rsidR="00A04E91" w:rsidRPr="006F21AF">
        <w:rPr>
          <w:rFonts w:ascii="Arial" w:hAnsi="Arial" w:cs="Arial"/>
          <w:sz w:val="22"/>
        </w:rPr>
        <w:t>XIV Jornadas de Investigadores en Economía Social, CIRIEC. San Sebastián</w:t>
      </w:r>
    </w:p>
    <w:p w:rsidR="00135771" w:rsidRPr="006F21AF" w:rsidRDefault="00135771" w:rsidP="00135771">
      <w:pPr>
        <w:pStyle w:val="Prrafodelista"/>
        <w:numPr>
          <w:ilvl w:val="0"/>
          <w:numId w:val="1"/>
        </w:numPr>
        <w:jc w:val="both"/>
        <w:rPr>
          <w:rFonts w:ascii="Arial" w:hAnsi="Arial" w:cs="Arial"/>
          <w:sz w:val="22"/>
        </w:rPr>
      </w:pPr>
      <w:r w:rsidRPr="006F21AF">
        <w:rPr>
          <w:rFonts w:ascii="Arial" w:hAnsi="Arial" w:cs="Arial"/>
          <w:sz w:val="22"/>
        </w:rPr>
        <w:t xml:space="preserve">García Jiménez, M. (2001). El empleo en la economía social. </w:t>
      </w:r>
      <w:proofErr w:type="spellStart"/>
      <w:r w:rsidRPr="006F21AF">
        <w:rPr>
          <w:rFonts w:ascii="Arial" w:hAnsi="Arial" w:cs="Arial"/>
          <w:sz w:val="22"/>
        </w:rPr>
        <w:t>Revesco</w:t>
      </w:r>
      <w:proofErr w:type="spellEnd"/>
      <w:r w:rsidRPr="006F21AF">
        <w:rPr>
          <w:rFonts w:ascii="Arial" w:hAnsi="Arial" w:cs="Arial"/>
          <w:sz w:val="22"/>
        </w:rPr>
        <w:t>. Revista de Estudios Cooperativos nº74. Madrid</w:t>
      </w:r>
    </w:p>
    <w:p w:rsidR="00404943" w:rsidRPr="006F21AF" w:rsidRDefault="00135771" w:rsidP="00135771">
      <w:pPr>
        <w:pStyle w:val="Prrafodelista"/>
        <w:numPr>
          <w:ilvl w:val="0"/>
          <w:numId w:val="1"/>
        </w:numPr>
        <w:jc w:val="both"/>
        <w:rPr>
          <w:rFonts w:ascii="Arial" w:hAnsi="Arial" w:cs="Arial"/>
          <w:sz w:val="22"/>
        </w:rPr>
      </w:pPr>
      <w:r w:rsidRPr="006F21AF">
        <w:rPr>
          <w:rFonts w:ascii="Arial" w:hAnsi="Arial" w:cs="Arial"/>
          <w:sz w:val="22"/>
        </w:rPr>
        <w:t xml:space="preserve">Instituto Nacional de Estadística, INE (2012). </w:t>
      </w:r>
      <w:r w:rsidR="004F17DE" w:rsidRPr="006F21AF">
        <w:rPr>
          <w:rFonts w:ascii="Arial" w:hAnsi="Arial" w:cs="Arial"/>
          <w:sz w:val="22"/>
        </w:rPr>
        <w:t>http://www.ine.es</w:t>
      </w:r>
      <w:r w:rsidRPr="006F21AF">
        <w:rPr>
          <w:rFonts w:ascii="Arial" w:hAnsi="Arial" w:cs="Arial"/>
          <w:sz w:val="22"/>
        </w:rPr>
        <w:t xml:space="preserve"> </w:t>
      </w:r>
    </w:p>
    <w:p w:rsidR="004F17DE" w:rsidRPr="006F21AF" w:rsidRDefault="004F17DE" w:rsidP="00135771">
      <w:pPr>
        <w:pStyle w:val="Prrafodelista"/>
        <w:numPr>
          <w:ilvl w:val="0"/>
          <w:numId w:val="1"/>
        </w:numPr>
        <w:jc w:val="both"/>
        <w:rPr>
          <w:rFonts w:ascii="Arial" w:hAnsi="Arial" w:cs="Arial"/>
          <w:sz w:val="22"/>
        </w:rPr>
      </w:pPr>
      <w:r w:rsidRPr="006F21AF">
        <w:rPr>
          <w:rFonts w:ascii="Arial" w:hAnsi="Arial" w:cs="Arial"/>
          <w:sz w:val="22"/>
        </w:rPr>
        <w:t>Junta de Andalucía (2012).</w:t>
      </w:r>
    </w:p>
    <w:p w:rsidR="004F17DE" w:rsidRPr="006F21AF" w:rsidRDefault="004F17DE" w:rsidP="004F17DE">
      <w:pPr>
        <w:pStyle w:val="Prrafodelista"/>
        <w:jc w:val="both"/>
        <w:rPr>
          <w:rFonts w:ascii="Arial" w:hAnsi="Arial" w:cs="Arial"/>
          <w:sz w:val="22"/>
        </w:rPr>
      </w:pPr>
      <w:r w:rsidRPr="006F21AF">
        <w:rPr>
          <w:rFonts w:ascii="Arial" w:hAnsi="Arial" w:cs="Arial"/>
          <w:sz w:val="22"/>
        </w:rPr>
        <w:t xml:space="preserve"> http://www.juntadeandalucia.es/ins</w:t>
      </w:r>
      <w:r w:rsidR="00660B3A" w:rsidRPr="006F21AF">
        <w:rPr>
          <w:rFonts w:ascii="Arial" w:hAnsi="Arial" w:cs="Arial"/>
          <w:sz w:val="22"/>
        </w:rPr>
        <w:t>titutodeestadisticaycartografia</w:t>
      </w:r>
    </w:p>
    <w:p w:rsidR="00660B3A" w:rsidRPr="006F21AF" w:rsidRDefault="00135771" w:rsidP="00135771">
      <w:pPr>
        <w:pStyle w:val="Prrafodelista"/>
        <w:numPr>
          <w:ilvl w:val="0"/>
          <w:numId w:val="1"/>
        </w:numPr>
        <w:jc w:val="both"/>
        <w:rPr>
          <w:rFonts w:ascii="Arial" w:hAnsi="Arial" w:cs="Arial"/>
          <w:sz w:val="22"/>
        </w:rPr>
      </w:pPr>
      <w:r w:rsidRPr="006F21AF">
        <w:rPr>
          <w:rFonts w:ascii="Arial" w:hAnsi="Arial" w:cs="Arial"/>
          <w:sz w:val="22"/>
        </w:rPr>
        <w:t xml:space="preserve">Ministerio de Empleo y Seguridad Social. </w:t>
      </w:r>
    </w:p>
    <w:p w:rsidR="00135771" w:rsidRPr="006F21AF" w:rsidRDefault="00135771" w:rsidP="00660B3A">
      <w:pPr>
        <w:pStyle w:val="Prrafodelista"/>
        <w:jc w:val="both"/>
        <w:rPr>
          <w:rFonts w:ascii="Arial" w:hAnsi="Arial" w:cs="Arial"/>
          <w:sz w:val="22"/>
        </w:rPr>
      </w:pPr>
      <w:r w:rsidRPr="006F21AF">
        <w:rPr>
          <w:rFonts w:ascii="Arial" w:hAnsi="Arial" w:cs="Arial"/>
          <w:sz w:val="22"/>
        </w:rPr>
        <w:t xml:space="preserve">http://www.empleo.gob.es/es/estadisticas/index.htm </w:t>
      </w:r>
    </w:p>
    <w:p w:rsidR="00135771" w:rsidRPr="006F21AF" w:rsidRDefault="00135771" w:rsidP="00135771">
      <w:pPr>
        <w:pStyle w:val="Prrafodelista"/>
        <w:numPr>
          <w:ilvl w:val="0"/>
          <w:numId w:val="1"/>
        </w:numPr>
        <w:jc w:val="both"/>
        <w:rPr>
          <w:rFonts w:ascii="Arial" w:hAnsi="Arial" w:cs="Arial"/>
          <w:sz w:val="22"/>
        </w:rPr>
      </w:pPr>
      <w:r w:rsidRPr="006F21AF">
        <w:rPr>
          <w:rFonts w:ascii="Arial" w:hAnsi="Arial" w:cs="Arial"/>
          <w:sz w:val="22"/>
        </w:rPr>
        <w:t xml:space="preserve">Server Izquierdo, R., Marí-Vidal, S., Lajara-Camilleri, N. (2011). La formación como factor de competitividad en cooperativas agroalimentarias. Revista AECA nº95 </w:t>
      </w:r>
      <w:proofErr w:type="spellStart"/>
      <w:r w:rsidRPr="006F21AF">
        <w:rPr>
          <w:rFonts w:ascii="Arial" w:hAnsi="Arial" w:cs="Arial"/>
          <w:sz w:val="22"/>
        </w:rPr>
        <w:t>pp</w:t>
      </w:r>
      <w:proofErr w:type="spellEnd"/>
      <w:r w:rsidRPr="006F21AF">
        <w:rPr>
          <w:rFonts w:ascii="Arial" w:hAnsi="Arial" w:cs="Arial"/>
          <w:sz w:val="22"/>
        </w:rPr>
        <w:t xml:space="preserve"> 99-101 </w:t>
      </w:r>
    </w:p>
    <w:p w:rsidR="00135771" w:rsidRPr="006F21AF" w:rsidRDefault="00135771" w:rsidP="00135771">
      <w:pPr>
        <w:ind w:left="360"/>
        <w:jc w:val="both"/>
        <w:rPr>
          <w:rFonts w:ascii="Arial" w:hAnsi="Arial" w:cs="Arial"/>
          <w:sz w:val="22"/>
        </w:rPr>
      </w:pPr>
    </w:p>
    <w:sectPr w:rsidR="00135771" w:rsidRPr="006F21AF" w:rsidSect="00EE51DF">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F461B"/>
    <w:multiLevelType w:val="hybridMultilevel"/>
    <w:tmpl w:val="605C07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70D6632"/>
    <w:multiLevelType w:val="hybridMultilevel"/>
    <w:tmpl w:val="95EE3166"/>
    <w:lvl w:ilvl="0" w:tplc="5A9EBE78">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125900"/>
    <w:multiLevelType w:val="hybridMultilevel"/>
    <w:tmpl w:val="F62A3E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C9C2028"/>
    <w:multiLevelType w:val="hybridMultilevel"/>
    <w:tmpl w:val="814A59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DD03B00"/>
    <w:multiLevelType w:val="hybridMultilevel"/>
    <w:tmpl w:val="F5A2C9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397097C"/>
    <w:multiLevelType w:val="hybridMultilevel"/>
    <w:tmpl w:val="A8CA00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useFELayout/>
  </w:compat>
  <w:rsids>
    <w:rsidRoot w:val="00AF23D6"/>
    <w:rsid w:val="0003163A"/>
    <w:rsid w:val="00060CE7"/>
    <w:rsid w:val="000E2A74"/>
    <w:rsid w:val="00116C54"/>
    <w:rsid w:val="00135771"/>
    <w:rsid w:val="0013691F"/>
    <w:rsid w:val="001A1A93"/>
    <w:rsid w:val="001A7F82"/>
    <w:rsid w:val="001B6DDC"/>
    <w:rsid w:val="001B7979"/>
    <w:rsid w:val="001C401C"/>
    <w:rsid w:val="0029787F"/>
    <w:rsid w:val="002A2D0C"/>
    <w:rsid w:val="002D4CF3"/>
    <w:rsid w:val="003339CC"/>
    <w:rsid w:val="00340792"/>
    <w:rsid w:val="00352836"/>
    <w:rsid w:val="003C0069"/>
    <w:rsid w:val="003C55D0"/>
    <w:rsid w:val="003D178A"/>
    <w:rsid w:val="003D5C8C"/>
    <w:rsid w:val="003D74CB"/>
    <w:rsid w:val="00404943"/>
    <w:rsid w:val="00431FD6"/>
    <w:rsid w:val="00433CAF"/>
    <w:rsid w:val="004847EC"/>
    <w:rsid w:val="00495D64"/>
    <w:rsid w:val="004F17DE"/>
    <w:rsid w:val="0050617A"/>
    <w:rsid w:val="00602117"/>
    <w:rsid w:val="00660B3A"/>
    <w:rsid w:val="006637EC"/>
    <w:rsid w:val="00684CA8"/>
    <w:rsid w:val="006D28CE"/>
    <w:rsid w:val="006F21AF"/>
    <w:rsid w:val="00756C68"/>
    <w:rsid w:val="00774F40"/>
    <w:rsid w:val="008132CC"/>
    <w:rsid w:val="00852173"/>
    <w:rsid w:val="0086144B"/>
    <w:rsid w:val="00862671"/>
    <w:rsid w:val="008E0A53"/>
    <w:rsid w:val="008F3D70"/>
    <w:rsid w:val="00920764"/>
    <w:rsid w:val="00921CCC"/>
    <w:rsid w:val="00940454"/>
    <w:rsid w:val="00956D78"/>
    <w:rsid w:val="00961381"/>
    <w:rsid w:val="00967EAD"/>
    <w:rsid w:val="009867D2"/>
    <w:rsid w:val="009A3C31"/>
    <w:rsid w:val="009A69C1"/>
    <w:rsid w:val="009A7420"/>
    <w:rsid w:val="009F0C1C"/>
    <w:rsid w:val="009F69CD"/>
    <w:rsid w:val="00A04E91"/>
    <w:rsid w:val="00A30434"/>
    <w:rsid w:val="00A30843"/>
    <w:rsid w:val="00AD4B27"/>
    <w:rsid w:val="00AF23D6"/>
    <w:rsid w:val="00AF451D"/>
    <w:rsid w:val="00B752D7"/>
    <w:rsid w:val="00BD5F0F"/>
    <w:rsid w:val="00BF6768"/>
    <w:rsid w:val="00C10CAD"/>
    <w:rsid w:val="00C160A7"/>
    <w:rsid w:val="00C427DF"/>
    <w:rsid w:val="00C5304C"/>
    <w:rsid w:val="00CA730C"/>
    <w:rsid w:val="00CB6A89"/>
    <w:rsid w:val="00D1411E"/>
    <w:rsid w:val="00D249C1"/>
    <w:rsid w:val="00D9771C"/>
    <w:rsid w:val="00DA25A1"/>
    <w:rsid w:val="00DD4C86"/>
    <w:rsid w:val="00DE329D"/>
    <w:rsid w:val="00E146E4"/>
    <w:rsid w:val="00EE51DF"/>
    <w:rsid w:val="00F3331C"/>
    <w:rsid w:val="00F819EB"/>
    <w:rsid w:val="00F90E83"/>
    <w:rsid w:val="00FA2224"/>
    <w:rsid w:val="00FB47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87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F23D6"/>
    <w:rPr>
      <w:color w:val="0000FF" w:themeColor="hyperlink"/>
      <w:u w:val="single"/>
    </w:rPr>
  </w:style>
  <w:style w:type="paragraph" w:styleId="Textodeglobo">
    <w:name w:val="Balloon Text"/>
    <w:basedOn w:val="Normal"/>
    <w:link w:val="TextodegloboCar"/>
    <w:uiPriority w:val="99"/>
    <w:semiHidden/>
    <w:unhideWhenUsed/>
    <w:rsid w:val="001A1A93"/>
    <w:rPr>
      <w:rFonts w:ascii="Tahoma" w:hAnsi="Tahoma" w:cs="Tahoma"/>
      <w:sz w:val="16"/>
      <w:szCs w:val="16"/>
    </w:rPr>
  </w:style>
  <w:style w:type="character" w:customStyle="1" w:styleId="TextodegloboCar">
    <w:name w:val="Texto de globo Car"/>
    <w:basedOn w:val="Fuentedeprrafopredeter"/>
    <w:link w:val="Textodeglobo"/>
    <w:uiPriority w:val="99"/>
    <w:semiHidden/>
    <w:rsid w:val="001A1A93"/>
    <w:rPr>
      <w:rFonts w:ascii="Tahoma" w:hAnsi="Tahoma" w:cs="Tahoma"/>
      <w:sz w:val="16"/>
      <w:szCs w:val="16"/>
    </w:rPr>
  </w:style>
  <w:style w:type="paragraph" w:styleId="Epgrafe">
    <w:name w:val="caption"/>
    <w:basedOn w:val="Normal"/>
    <w:next w:val="Normal"/>
    <w:uiPriority w:val="35"/>
    <w:unhideWhenUsed/>
    <w:qFormat/>
    <w:rsid w:val="0050617A"/>
    <w:pPr>
      <w:spacing w:after="200"/>
    </w:pPr>
    <w:rPr>
      <w:b/>
      <w:bCs/>
      <w:color w:val="4F81BD" w:themeColor="accent1"/>
      <w:sz w:val="18"/>
      <w:szCs w:val="18"/>
    </w:rPr>
  </w:style>
  <w:style w:type="table" w:styleId="Tablaconcuadrcula">
    <w:name w:val="Table Grid"/>
    <w:basedOn w:val="Tablanormal"/>
    <w:uiPriority w:val="59"/>
    <w:rsid w:val="00BF67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3577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3D6"/>
    <w:rPr>
      <w:color w:val="0000FF" w:themeColor="hyperlink"/>
      <w:u w:val="single"/>
    </w:rPr>
  </w:style>
  <w:style w:type="paragraph" w:styleId="BalloonText">
    <w:name w:val="Balloon Text"/>
    <w:basedOn w:val="Normal"/>
    <w:link w:val="BalloonTextChar"/>
    <w:uiPriority w:val="99"/>
    <w:semiHidden/>
    <w:unhideWhenUsed/>
    <w:rsid w:val="001A1A93"/>
    <w:rPr>
      <w:rFonts w:ascii="Tahoma" w:hAnsi="Tahoma" w:cs="Tahoma"/>
      <w:sz w:val="16"/>
      <w:szCs w:val="16"/>
    </w:rPr>
  </w:style>
  <w:style w:type="character" w:customStyle="1" w:styleId="BalloonTextChar">
    <w:name w:val="Balloon Text Char"/>
    <w:basedOn w:val="DefaultParagraphFont"/>
    <w:link w:val="BalloonText"/>
    <w:uiPriority w:val="99"/>
    <w:semiHidden/>
    <w:rsid w:val="001A1A93"/>
    <w:rPr>
      <w:rFonts w:ascii="Tahoma" w:hAnsi="Tahoma" w:cs="Tahoma"/>
      <w:sz w:val="16"/>
      <w:szCs w:val="16"/>
    </w:rPr>
  </w:style>
  <w:style w:type="paragraph" w:styleId="Caption">
    <w:name w:val="caption"/>
    <w:basedOn w:val="Normal"/>
    <w:next w:val="Normal"/>
    <w:uiPriority w:val="35"/>
    <w:unhideWhenUsed/>
    <w:qFormat/>
    <w:rsid w:val="0050617A"/>
    <w:pPr>
      <w:spacing w:after="200"/>
    </w:pPr>
    <w:rPr>
      <w:b/>
      <w:bCs/>
      <w:color w:val="4F81BD" w:themeColor="accent1"/>
      <w:sz w:val="18"/>
      <w:szCs w:val="18"/>
    </w:rPr>
  </w:style>
  <w:style w:type="table" w:styleId="TableGrid">
    <w:name w:val="Table Grid"/>
    <w:basedOn w:val="TableNormal"/>
    <w:uiPriority w:val="59"/>
    <w:rsid w:val="00BF67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alade\AppData\Local\Temp\pcaxis-75756460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Workbook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AECA%202012\Trabajadores%20SA%20y%20S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plotArea>
      <c:layout/>
      <c:lineChart>
        <c:grouping val="standard"/>
        <c:ser>
          <c:idx val="0"/>
          <c:order val="0"/>
          <c:tx>
            <c:strRef>
              <c:f>pcaxis!$A$11</c:f>
              <c:strCache>
                <c:ptCount val="1"/>
                <c:pt idx="0">
                  <c:v>Sociedades anónimas</c:v>
                </c:pt>
              </c:strCache>
            </c:strRef>
          </c:tx>
          <c:marker>
            <c:symbol val="none"/>
          </c:marker>
          <c:cat>
            <c:numRef>
              <c:f>pcaxis!$O$9:$AA$9</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pcaxis!$O$11:$AA$11</c:f>
              <c:numCache>
                <c:formatCode>0.0</c:formatCode>
                <c:ptCount val="13"/>
                <c:pt idx="0" formatCode="General">
                  <c:v>100</c:v>
                </c:pt>
                <c:pt idx="1">
                  <c:v>98.680185231806718</c:v>
                </c:pt>
                <c:pt idx="2">
                  <c:v>96.528810869780656</c:v>
                </c:pt>
                <c:pt idx="3">
                  <c:v>94.956476628598011</c:v>
                </c:pt>
                <c:pt idx="4">
                  <c:v>93.515360965524579</c:v>
                </c:pt>
                <c:pt idx="5">
                  <c:v>92.6471822336147</c:v>
                </c:pt>
                <c:pt idx="6">
                  <c:v>89.595587393861464</c:v>
                </c:pt>
                <c:pt idx="7">
                  <c:v>88.175832894666144</c:v>
                </c:pt>
                <c:pt idx="8">
                  <c:v>86.306731055317783</c:v>
                </c:pt>
                <c:pt idx="9">
                  <c:v>83.407715957552313</c:v>
                </c:pt>
                <c:pt idx="10">
                  <c:v>80.259232981637027</c:v>
                </c:pt>
                <c:pt idx="11">
                  <c:v>79.826669413102024</c:v>
                </c:pt>
                <c:pt idx="12">
                  <c:v>78.221530527391849</c:v>
                </c:pt>
              </c:numCache>
            </c:numRef>
          </c:val>
        </c:ser>
        <c:ser>
          <c:idx val="3"/>
          <c:order val="1"/>
          <c:tx>
            <c:strRef>
              <c:f>pcaxis!$A$14</c:f>
              <c:strCache>
                <c:ptCount val="1"/>
                <c:pt idx="0">
                  <c:v>Sociedades cooperativas</c:v>
                </c:pt>
              </c:strCache>
            </c:strRef>
          </c:tx>
          <c:spPr>
            <a:ln>
              <a:solidFill>
                <a:schemeClr val="accent6">
                  <a:lumMod val="75000"/>
                </a:schemeClr>
              </a:solidFill>
            </a:ln>
          </c:spPr>
          <c:marker>
            <c:symbol val="none"/>
          </c:marker>
          <c:cat>
            <c:numRef>
              <c:f>pcaxis!$O$9:$AA$9</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pcaxis!$O$14:$AA$14</c:f>
              <c:numCache>
                <c:formatCode>0.0</c:formatCode>
                <c:ptCount val="13"/>
                <c:pt idx="0" formatCode="General">
                  <c:v>100</c:v>
                </c:pt>
                <c:pt idx="1">
                  <c:v>103.21452933151441</c:v>
                </c:pt>
                <c:pt idx="2">
                  <c:v>106.01551841746245</c:v>
                </c:pt>
                <c:pt idx="3">
                  <c:v>109.4773192360164</c:v>
                </c:pt>
                <c:pt idx="4">
                  <c:v>108.9571964529332</c:v>
                </c:pt>
                <c:pt idx="5">
                  <c:v>109.99744201909958</c:v>
                </c:pt>
                <c:pt idx="6">
                  <c:v>107.98090040927723</c:v>
                </c:pt>
                <c:pt idx="7">
                  <c:v>106.3651091405184</c:v>
                </c:pt>
                <c:pt idx="8">
                  <c:v>104.5190995907231</c:v>
                </c:pt>
                <c:pt idx="9">
                  <c:v>100.1151091405184</c:v>
                </c:pt>
                <c:pt idx="10">
                  <c:v>96.785470668485559</c:v>
                </c:pt>
                <c:pt idx="11">
                  <c:v>94.956514324693046</c:v>
                </c:pt>
                <c:pt idx="12">
                  <c:v>92.786493860845837</c:v>
                </c:pt>
              </c:numCache>
            </c:numRef>
          </c:val>
        </c:ser>
        <c:ser>
          <c:idx val="4"/>
          <c:order val="2"/>
          <c:tx>
            <c:strRef>
              <c:f>pcaxis!$A$15</c:f>
              <c:strCache>
                <c:ptCount val="1"/>
                <c:pt idx="0">
                  <c:v>Comunidades de bienes</c:v>
                </c:pt>
              </c:strCache>
            </c:strRef>
          </c:tx>
          <c:marker>
            <c:symbol val="none"/>
          </c:marker>
          <c:cat>
            <c:numRef>
              <c:f>pcaxis!$O$9:$AA$9</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pcaxis!$O$15:$AA$15</c:f>
              <c:numCache>
                <c:formatCode>0.0</c:formatCode>
                <c:ptCount val="13"/>
                <c:pt idx="0" formatCode="General">
                  <c:v>100</c:v>
                </c:pt>
                <c:pt idx="1">
                  <c:v>102.70979853355257</c:v>
                </c:pt>
                <c:pt idx="2">
                  <c:v>104.24426276339618</c:v>
                </c:pt>
                <c:pt idx="3">
                  <c:v>107.8042741902573</c:v>
                </c:pt>
                <c:pt idx="4">
                  <c:v>120.712546421624</c:v>
                </c:pt>
                <c:pt idx="5">
                  <c:v>129.09360503870136</c:v>
                </c:pt>
                <c:pt idx="6">
                  <c:v>139.56006584048654</c:v>
                </c:pt>
                <c:pt idx="7">
                  <c:v>146.36040864632534</c:v>
                </c:pt>
                <c:pt idx="8">
                  <c:v>154.23269986804698</c:v>
                </c:pt>
                <c:pt idx="9">
                  <c:v>156.2092748024105</c:v>
                </c:pt>
                <c:pt idx="10">
                  <c:v>155.33185509651588</c:v>
                </c:pt>
                <c:pt idx="11">
                  <c:v>155.16589353974189</c:v>
                </c:pt>
                <c:pt idx="12">
                  <c:v>154.83805144808261</c:v>
                </c:pt>
              </c:numCache>
            </c:numRef>
          </c:val>
        </c:ser>
        <c:ser>
          <c:idx val="7"/>
          <c:order val="3"/>
          <c:tx>
            <c:strRef>
              <c:f>pcaxis!$A$18</c:f>
              <c:strCache>
                <c:ptCount val="1"/>
                <c:pt idx="0">
                  <c:v>Sociedades de responsabilidad limitada</c:v>
                </c:pt>
              </c:strCache>
            </c:strRef>
          </c:tx>
          <c:marker>
            <c:symbol val="none"/>
          </c:marker>
          <c:cat>
            <c:numRef>
              <c:f>pcaxis!$O$9:$AA$9</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pcaxis!$O$18:$AA$18</c:f>
              <c:numCache>
                <c:formatCode>0.0</c:formatCode>
                <c:ptCount val="13"/>
                <c:pt idx="0" formatCode="General">
                  <c:v>100</c:v>
                </c:pt>
                <c:pt idx="1">
                  <c:v>108.992380473371</c:v>
                </c:pt>
                <c:pt idx="2">
                  <c:v>117.01051971507621</c:v>
                </c:pt>
                <c:pt idx="3">
                  <c:v>126.25470709076468</c:v>
                </c:pt>
                <c:pt idx="4">
                  <c:v>137.16421663885117</c:v>
                </c:pt>
                <c:pt idx="5">
                  <c:v>149.98171052330758</c:v>
                </c:pt>
                <c:pt idx="6">
                  <c:v>162.09995852207959</c:v>
                </c:pt>
                <c:pt idx="7">
                  <c:v>176.13647868786074</c:v>
                </c:pt>
                <c:pt idx="8">
                  <c:v>187.04223236126941</c:v>
                </c:pt>
                <c:pt idx="9">
                  <c:v>186.29465000146948</c:v>
                </c:pt>
                <c:pt idx="10">
                  <c:v>183.87292732872442</c:v>
                </c:pt>
                <c:pt idx="11">
                  <c:v>183.34971765620361</c:v>
                </c:pt>
                <c:pt idx="12">
                  <c:v>183.47839718864643</c:v>
                </c:pt>
              </c:numCache>
            </c:numRef>
          </c:val>
        </c:ser>
        <c:ser>
          <c:idx val="8"/>
          <c:order val="4"/>
          <c:tx>
            <c:strRef>
              <c:f>pcaxis!$A$19</c:f>
              <c:strCache>
                <c:ptCount val="1"/>
                <c:pt idx="0">
                  <c:v>Personas físicas</c:v>
                </c:pt>
              </c:strCache>
            </c:strRef>
          </c:tx>
          <c:marker>
            <c:symbol val="none"/>
          </c:marker>
          <c:cat>
            <c:numRef>
              <c:f>pcaxis!$O$9:$AA$9</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pcaxis!$O$19:$AA$19</c:f>
              <c:numCache>
                <c:formatCode>0.0</c:formatCode>
                <c:ptCount val="13"/>
                <c:pt idx="0" formatCode="General">
                  <c:v>100</c:v>
                </c:pt>
                <c:pt idx="1">
                  <c:v>99.313517522023119</c:v>
                </c:pt>
                <c:pt idx="2">
                  <c:v>99.970168625453255</c:v>
                </c:pt>
                <c:pt idx="3">
                  <c:v>101.91642523902718</c:v>
                </c:pt>
                <c:pt idx="4">
                  <c:v>104.5575243327185</c:v>
                </c:pt>
                <c:pt idx="5">
                  <c:v>106.29020995634171</c:v>
                </c:pt>
                <c:pt idx="6">
                  <c:v>107.72530356130082</c:v>
                </c:pt>
                <c:pt idx="7">
                  <c:v>111.44736897500962</c:v>
                </c:pt>
                <c:pt idx="8">
                  <c:v>111.7432168205649</c:v>
                </c:pt>
                <c:pt idx="9">
                  <c:v>107.8919623090206</c:v>
                </c:pt>
                <c:pt idx="10">
                  <c:v>105.00595725332418</c:v>
                </c:pt>
                <c:pt idx="11">
                  <c:v>102.63947520838349</c:v>
                </c:pt>
                <c:pt idx="12">
                  <c:v>99.626386091362178</c:v>
                </c:pt>
              </c:numCache>
            </c:numRef>
          </c:val>
        </c:ser>
        <c:marker val="1"/>
        <c:axId val="75932032"/>
        <c:axId val="75933568"/>
      </c:lineChart>
      <c:catAx>
        <c:axId val="75932032"/>
        <c:scaling>
          <c:orientation val="minMax"/>
        </c:scaling>
        <c:axPos val="b"/>
        <c:numFmt formatCode="General" sourceLinked="1"/>
        <c:tickLblPos val="nextTo"/>
        <c:txPr>
          <a:bodyPr/>
          <a:lstStyle/>
          <a:p>
            <a:pPr>
              <a:defRPr sz="600"/>
            </a:pPr>
            <a:endParaRPr lang="es-ES"/>
          </a:p>
        </c:txPr>
        <c:crossAx val="75933568"/>
        <c:crosses val="autoZero"/>
        <c:auto val="1"/>
        <c:lblAlgn val="ctr"/>
        <c:lblOffset val="100"/>
      </c:catAx>
      <c:valAx>
        <c:axId val="75933568"/>
        <c:scaling>
          <c:orientation val="minMax"/>
        </c:scaling>
        <c:axPos val="l"/>
        <c:majorGridlines/>
        <c:numFmt formatCode="General" sourceLinked="1"/>
        <c:tickLblPos val="nextTo"/>
        <c:txPr>
          <a:bodyPr/>
          <a:lstStyle/>
          <a:p>
            <a:pPr>
              <a:defRPr sz="800"/>
            </a:pPr>
            <a:endParaRPr lang="es-ES"/>
          </a:p>
        </c:txPr>
        <c:crossAx val="75932032"/>
        <c:crosses val="autoZero"/>
        <c:crossBetween val="between"/>
      </c:valAx>
    </c:plotArea>
    <c:legend>
      <c:legendPos val="r"/>
      <c:layout/>
      <c:txPr>
        <a:bodyPr/>
        <a:lstStyle/>
        <a:p>
          <a:pPr>
            <a:defRPr sz="700"/>
          </a:pPr>
          <a:endParaRPr lang="es-ES"/>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style val="18"/>
  <c:chart>
    <c:plotArea>
      <c:layout/>
      <c:lineChart>
        <c:grouping val="standard"/>
        <c:ser>
          <c:idx val="1"/>
          <c:order val="0"/>
          <c:marker>
            <c:symbol val="none"/>
          </c:marker>
          <c:trendline>
            <c:trendlineType val="linear"/>
          </c:trendline>
          <c:cat>
            <c:numRef>
              <c:f>[Workbook2]Sheet1!$A$1:$A$13</c:f>
              <c:numCache>
                <c:formatCode>General</c:formatCode>
                <c:ptCount val="13"/>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numCache>
            </c:numRef>
          </c:cat>
          <c:val>
            <c:numRef>
              <c:f>[Workbook2]Sheet1!$B$1:$B$13</c:f>
              <c:numCache>
                <c:formatCode>General</c:formatCode>
                <c:ptCount val="13"/>
                <c:pt idx="0">
                  <c:v>1</c:v>
                </c:pt>
                <c:pt idx="1">
                  <c:v>4</c:v>
                </c:pt>
                <c:pt idx="2">
                  <c:v>5</c:v>
                </c:pt>
                <c:pt idx="3">
                  <c:v>4</c:v>
                </c:pt>
                <c:pt idx="4">
                  <c:v>6</c:v>
                </c:pt>
                <c:pt idx="5">
                  <c:v>8</c:v>
                </c:pt>
                <c:pt idx="6">
                  <c:v>9</c:v>
                </c:pt>
                <c:pt idx="7">
                  <c:v>5</c:v>
                </c:pt>
                <c:pt idx="8">
                  <c:v>2</c:v>
                </c:pt>
                <c:pt idx="9">
                  <c:v>10</c:v>
                </c:pt>
                <c:pt idx="10">
                  <c:v>5</c:v>
                </c:pt>
                <c:pt idx="11">
                  <c:v>4</c:v>
                </c:pt>
                <c:pt idx="12">
                  <c:v>9</c:v>
                </c:pt>
              </c:numCache>
            </c:numRef>
          </c:val>
        </c:ser>
        <c:marker val="1"/>
        <c:axId val="75950720"/>
        <c:axId val="75956608"/>
      </c:lineChart>
      <c:catAx>
        <c:axId val="75950720"/>
        <c:scaling>
          <c:orientation val="minMax"/>
        </c:scaling>
        <c:axPos val="b"/>
        <c:numFmt formatCode="General" sourceLinked="1"/>
        <c:tickLblPos val="nextTo"/>
        <c:txPr>
          <a:bodyPr/>
          <a:lstStyle/>
          <a:p>
            <a:pPr algn="ctr">
              <a:defRPr sz="700"/>
            </a:pPr>
            <a:endParaRPr lang="es-ES"/>
          </a:p>
        </c:txPr>
        <c:crossAx val="75956608"/>
        <c:crosses val="autoZero"/>
        <c:auto val="1"/>
        <c:lblAlgn val="ctr"/>
        <c:lblOffset val="100"/>
      </c:catAx>
      <c:valAx>
        <c:axId val="75956608"/>
        <c:scaling>
          <c:orientation val="minMax"/>
        </c:scaling>
        <c:axPos val="l"/>
        <c:majorGridlines/>
        <c:numFmt formatCode="General" sourceLinked="1"/>
        <c:tickLblPos val="nextTo"/>
        <c:txPr>
          <a:bodyPr/>
          <a:lstStyle/>
          <a:p>
            <a:pPr>
              <a:defRPr sz="800"/>
            </a:pPr>
            <a:endParaRPr lang="es-ES"/>
          </a:p>
        </c:txPr>
        <c:crossAx val="75950720"/>
        <c:crosses val="autoZero"/>
        <c:crossBetween val="between"/>
      </c:valAx>
    </c:plotArea>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s-ES"/>
  <c:chart>
    <c:autoTitleDeleted val="1"/>
    <c:plotArea>
      <c:layout/>
      <c:pieChart>
        <c:varyColors val="1"/>
        <c:ser>
          <c:idx val="0"/>
          <c:order val="0"/>
          <c:explosion val="25"/>
          <c:dLbls>
            <c:numFmt formatCode="0.0%" sourceLinked="0"/>
            <c:txPr>
              <a:bodyPr/>
              <a:lstStyle/>
              <a:p>
                <a:pPr>
                  <a:defRPr sz="900"/>
                </a:pPr>
                <a:endParaRPr lang="es-ES"/>
              </a:p>
            </c:txPr>
            <c:showPercent val="1"/>
            <c:showLeaderLines val="1"/>
          </c:dLbls>
          <c:cat>
            <c:strRef>
              <c:f>'Por trimestres'!$I$80:$I$83</c:f>
              <c:strCache>
                <c:ptCount val="4"/>
                <c:pt idx="0">
                  <c:v>Persona fisica</c:v>
                </c:pt>
                <c:pt idx="1">
                  <c:v>Sociedades anónimas</c:v>
                </c:pt>
                <c:pt idx="2">
                  <c:v>Sociedad de responsabilidad limitada</c:v>
                </c:pt>
                <c:pt idx="3">
                  <c:v>Otros tipo de personalidad jurídica</c:v>
                </c:pt>
              </c:strCache>
            </c:strRef>
          </c:cat>
          <c:val>
            <c:numRef>
              <c:f>'Por trimestres'!$J$80:$J$83</c:f>
              <c:numCache>
                <c:formatCode>#,##0</c:formatCode>
                <c:ptCount val="4"/>
                <c:pt idx="0">
                  <c:v>2663266</c:v>
                </c:pt>
                <c:pt idx="1">
                  <c:v>11327778.000000002</c:v>
                </c:pt>
                <c:pt idx="2">
                  <c:v>13550039</c:v>
                </c:pt>
                <c:pt idx="3">
                  <c:v>9784247.999999987</c:v>
                </c:pt>
              </c:numCache>
            </c:numRef>
          </c:val>
        </c:ser>
        <c:ser>
          <c:idx val="1"/>
          <c:order val="1"/>
          <c:explosion val="25"/>
          <c:dLbls>
            <c:showPercent val="1"/>
            <c:showLeaderLines val="1"/>
          </c:dLbls>
          <c:cat>
            <c:strRef>
              <c:f>'Por trimestres'!$I$80:$I$83</c:f>
              <c:strCache>
                <c:ptCount val="4"/>
                <c:pt idx="0">
                  <c:v>Persona fisica</c:v>
                </c:pt>
                <c:pt idx="1">
                  <c:v>Sociedades anónimas</c:v>
                </c:pt>
                <c:pt idx="2">
                  <c:v>Sociedad de responsabilidad limitada</c:v>
                </c:pt>
                <c:pt idx="3">
                  <c:v>Otros tipo de personalidad jurídica</c:v>
                </c:pt>
              </c:strCache>
            </c:strRef>
          </c:cat>
          <c:val>
            <c:numRef>
              <c:f>'Por trimestres'!$J$81</c:f>
              <c:numCache>
                <c:formatCode>#,##0</c:formatCode>
                <c:ptCount val="1"/>
                <c:pt idx="0">
                  <c:v>11327778.000000002</c:v>
                </c:pt>
              </c:numCache>
            </c:numRef>
          </c:val>
        </c:ser>
        <c:ser>
          <c:idx val="2"/>
          <c:order val="2"/>
          <c:explosion val="25"/>
          <c:dLbls>
            <c:showPercent val="1"/>
            <c:showLeaderLines val="1"/>
          </c:dLbls>
          <c:cat>
            <c:strRef>
              <c:f>'Por trimestres'!$I$80:$I$83</c:f>
              <c:strCache>
                <c:ptCount val="4"/>
                <c:pt idx="0">
                  <c:v>Persona fisica</c:v>
                </c:pt>
                <c:pt idx="1">
                  <c:v>Sociedades anónimas</c:v>
                </c:pt>
                <c:pt idx="2">
                  <c:v>Sociedad de responsabilidad limitada</c:v>
                </c:pt>
                <c:pt idx="3">
                  <c:v>Otros tipo de personalidad jurídica</c:v>
                </c:pt>
              </c:strCache>
            </c:strRef>
          </c:cat>
          <c:val>
            <c:numRef>
              <c:f>'Por trimestres'!$J$82</c:f>
              <c:numCache>
                <c:formatCode>#,##0</c:formatCode>
                <c:ptCount val="1"/>
                <c:pt idx="0">
                  <c:v>13550039</c:v>
                </c:pt>
              </c:numCache>
            </c:numRef>
          </c:val>
        </c:ser>
        <c:ser>
          <c:idx val="3"/>
          <c:order val="3"/>
          <c:explosion val="25"/>
          <c:dLbls>
            <c:showPercent val="1"/>
            <c:showLeaderLines val="1"/>
          </c:dLbls>
          <c:cat>
            <c:strRef>
              <c:f>'Por trimestres'!$I$80:$I$83</c:f>
              <c:strCache>
                <c:ptCount val="4"/>
                <c:pt idx="0">
                  <c:v>Persona fisica</c:v>
                </c:pt>
                <c:pt idx="1">
                  <c:v>Sociedades anónimas</c:v>
                </c:pt>
                <c:pt idx="2">
                  <c:v>Sociedad de responsabilidad limitada</c:v>
                </c:pt>
                <c:pt idx="3">
                  <c:v>Otros tipo de personalidad jurídica</c:v>
                </c:pt>
              </c:strCache>
            </c:strRef>
          </c:cat>
          <c:val>
            <c:numRef>
              <c:f>'Por trimestres'!$J$83</c:f>
              <c:numCache>
                <c:formatCode>#,##0</c:formatCode>
                <c:ptCount val="1"/>
                <c:pt idx="0">
                  <c:v>9784247.999999987</c:v>
                </c:pt>
              </c:numCache>
            </c:numRef>
          </c:val>
        </c:ser>
        <c:dLbls>
          <c:showPercent val="1"/>
        </c:dLbls>
        <c:firstSliceAng val="0"/>
      </c:pieChart>
    </c:plotArea>
    <c:legend>
      <c:legendPos val="r"/>
      <c:layout>
        <c:manualLayout>
          <c:xMode val="edge"/>
          <c:yMode val="edge"/>
          <c:x val="0.62741152841222059"/>
          <c:y val="0.28515068146602202"/>
          <c:w val="0.34333333333333299"/>
          <c:h val="0.42969863706795758"/>
        </c:manualLayout>
      </c:layout>
      <c:txPr>
        <a:bodyPr/>
        <a:lstStyle/>
        <a:p>
          <a:pPr rtl="0">
            <a:defRPr sz="600"/>
          </a:pPr>
          <a:endParaRPr lang="es-ES"/>
        </a:p>
      </c:txPr>
    </c:legend>
    <c:plotVisOnly val="1"/>
    <c:dispBlanksAs val="zero"/>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1869</Words>
  <Characters>10284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UPV</Company>
  <LinksUpToDate>false</LinksUpToDate>
  <CharactersWithSpaces>12129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Lajara</dc:creator>
  <cp:lastModifiedBy>macaran</cp:lastModifiedBy>
  <cp:revision>2</cp:revision>
  <cp:lastPrinted>2012-12-05T18:00:00Z</cp:lastPrinted>
  <dcterms:created xsi:type="dcterms:W3CDTF">2012-12-05T18:00:00Z</dcterms:created>
  <dcterms:modified xsi:type="dcterms:W3CDTF">2012-12-05T18:00:00Z</dcterms:modified>
</cp:coreProperties>
</file>