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87" w:rsidRPr="007C5634" w:rsidRDefault="007C5634" w:rsidP="00907587">
      <w:pPr>
        <w:jc w:val="center"/>
        <w:rPr>
          <w:rFonts w:ascii="Arial" w:hAnsi="Arial" w:cs="Arial"/>
          <w:b/>
          <w:sz w:val="28"/>
          <w:szCs w:val="28"/>
        </w:rPr>
      </w:pPr>
      <w:r w:rsidRPr="007C5634">
        <w:rPr>
          <w:rFonts w:ascii="Arial" w:hAnsi="Arial" w:cs="Arial"/>
          <w:b/>
          <w:sz w:val="28"/>
          <w:szCs w:val="28"/>
        </w:rPr>
        <w:t xml:space="preserve">Determinación del </w:t>
      </w:r>
      <w:r w:rsidR="00907587" w:rsidRPr="007C5634">
        <w:rPr>
          <w:rFonts w:ascii="Arial" w:hAnsi="Arial" w:cs="Arial"/>
          <w:b/>
          <w:sz w:val="28"/>
          <w:szCs w:val="28"/>
        </w:rPr>
        <w:t xml:space="preserve">logro empresarial en cooperativas agrarias: </w:t>
      </w:r>
      <w:r w:rsidR="007C7DE8" w:rsidRPr="007C5634">
        <w:rPr>
          <w:rFonts w:ascii="Arial" w:hAnsi="Arial" w:cs="Arial"/>
          <w:b/>
          <w:sz w:val="28"/>
          <w:szCs w:val="28"/>
        </w:rPr>
        <w:t>aproximación</w:t>
      </w:r>
      <w:r w:rsidR="000D79F9" w:rsidRPr="007C5634">
        <w:rPr>
          <w:rFonts w:ascii="Arial" w:hAnsi="Arial" w:cs="Arial"/>
          <w:b/>
          <w:sz w:val="28"/>
          <w:szCs w:val="28"/>
        </w:rPr>
        <w:t xml:space="preserve"> </w:t>
      </w:r>
      <w:r w:rsidR="007C7DE8" w:rsidRPr="007C5634">
        <w:rPr>
          <w:rFonts w:ascii="Arial" w:hAnsi="Arial" w:cs="Arial"/>
          <w:b/>
          <w:sz w:val="28"/>
          <w:szCs w:val="28"/>
        </w:rPr>
        <w:t>empírica</w:t>
      </w:r>
      <w:r w:rsidRPr="007C5634">
        <w:rPr>
          <w:rFonts w:ascii="Arial" w:hAnsi="Arial" w:cs="Arial"/>
          <w:b/>
          <w:sz w:val="28"/>
          <w:szCs w:val="28"/>
        </w:rPr>
        <w:t xml:space="preserve"> a través de técnicas multivariante</w:t>
      </w:r>
    </w:p>
    <w:p w:rsidR="00907587" w:rsidRPr="007C5634" w:rsidRDefault="00907587" w:rsidP="00907587">
      <w:pPr>
        <w:jc w:val="center"/>
        <w:rPr>
          <w:rFonts w:ascii="Arial" w:hAnsi="Arial" w:cs="Arial"/>
          <w:b/>
        </w:rPr>
      </w:pPr>
    </w:p>
    <w:p w:rsidR="00C9552F" w:rsidRDefault="00C9552F" w:rsidP="00C105B9">
      <w:pPr>
        <w:jc w:val="both"/>
        <w:rPr>
          <w:rFonts w:ascii="Arial" w:hAnsi="Arial" w:cs="Arial"/>
          <w:b/>
          <w:sz w:val="22"/>
          <w:szCs w:val="22"/>
        </w:rPr>
      </w:pPr>
    </w:p>
    <w:p w:rsidR="00831A02" w:rsidRDefault="00831A02" w:rsidP="00C105B9">
      <w:pPr>
        <w:jc w:val="both"/>
        <w:rPr>
          <w:rFonts w:ascii="Arial" w:hAnsi="Arial" w:cs="Arial"/>
          <w:b/>
          <w:sz w:val="22"/>
          <w:szCs w:val="22"/>
        </w:rPr>
      </w:pPr>
    </w:p>
    <w:p w:rsidR="003A11D8" w:rsidRDefault="00FD6D09" w:rsidP="00C105B9">
      <w:pPr>
        <w:jc w:val="both"/>
        <w:rPr>
          <w:rFonts w:ascii="Arial" w:hAnsi="Arial" w:cs="Arial"/>
          <w:b/>
          <w:sz w:val="22"/>
          <w:szCs w:val="22"/>
        </w:rPr>
      </w:pPr>
      <w:r w:rsidRPr="007C5634">
        <w:rPr>
          <w:rFonts w:ascii="Arial" w:hAnsi="Arial" w:cs="Arial"/>
          <w:b/>
          <w:sz w:val="22"/>
          <w:szCs w:val="22"/>
        </w:rPr>
        <w:t xml:space="preserve">RESUMEN: </w:t>
      </w:r>
    </w:p>
    <w:p w:rsidR="00C9552F" w:rsidRPr="007C5634" w:rsidRDefault="00C9552F" w:rsidP="00C105B9">
      <w:pPr>
        <w:jc w:val="both"/>
        <w:rPr>
          <w:rFonts w:ascii="Arial" w:hAnsi="Arial" w:cs="Arial"/>
          <w:b/>
          <w:sz w:val="22"/>
          <w:szCs w:val="22"/>
        </w:rPr>
      </w:pPr>
    </w:p>
    <w:p w:rsidR="005362F0" w:rsidRPr="00C43D89" w:rsidRDefault="005362F0" w:rsidP="005362F0">
      <w:pPr>
        <w:jc w:val="both"/>
        <w:rPr>
          <w:rFonts w:ascii="Arial" w:hAnsi="Arial" w:cs="Arial"/>
          <w:sz w:val="22"/>
          <w:szCs w:val="22"/>
          <w:lang w:val="es-ES_tradnl"/>
        </w:rPr>
      </w:pPr>
      <w:r w:rsidRPr="00C43D89">
        <w:rPr>
          <w:rFonts w:ascii="Arial" w:hAnsi="Arial" w:cs="Arial"/>
          <w:sz w:val="22"/>
          <w:szCs w:val="22"/>
        </w:rPr>
        <w:t>La evaluación de la eficiencia de las cooperativas ha constituido un aspecto de gran interés para la economía agraria, dada la especial caracterización de este concepto en este tipo de entidades. La medición de su rendimiento debe evaluar la consecución de sus objetivos a dos niveles, empresarial y social, coherentemente con la doble dimensión que se les atribuye, si bien éste constituye un asunto no resuelto.</w:t>
      </w:r>
      <w:r w:rsidRPr="00C43D89">
        <w:rPr>
          <w:rFonts w:ascii="Arial" w:hAnsi="Arial" w:cs="Arial"/>
          <w:sz w:val="22"/>
          <w:szCs w:val="22"/>
          <w:lang w:val="es-ES_tradnl"/>
        </w:rPr>
        <w:t xml:space="preserve"> </w:t>
      </w:r>
    </w:p>
    <w:p w:rsidR="005362F0" w:rsidRPr="00C43D89" w:rsidRDefault="005362F0" w:rsidP="005362F0">
      <w:pPr>
        <w:jc w:val="both"/>
        <w:rPr>
          <w:rFonts w:ascii="Arial" w:hAnsi="Arial" w:cs="Arial"/>
          <w:sz w:val="22"/>
          <w:szCs w:val="22"/>
          <w:lang w:val="es-ES_tradnl"/>
        </w:rPr>
      </w:pPr>
      <w:r w:rsidRPr="00C43D89">
        <w:rPr>
          <w:rFonts w:ascii="Arial" w:hAnsi="Arial" w:cs="Arial"/>
          <w:sz w:val="22"/>
          <w:szCs w:val="22"/>
        </w:rPr>
        <w:t>En las cooperativas agrarias no se puede asumir que el resultado del ejercicio registre el beneficio o la pérdida correspondiente debido a la práctica extendida de recompensar a los socios vía precios de liquidación, lo que</w:t>
      </w:r>
      <w:r w:rsidRPr="00C43D89">
        <w:rPr>
          <w:rFonts w:ascii="Arial" w:hAnsi="Arial" w:cs="Arial"/>
          <w:sz w:val="22"/>
          <w:szCs w:val="22"/>
          <w:lang w:val="es-ES_tradnl"/>
        </w:rPr>
        <w:t xml:space="preserve"> determina que la rentabilidad obtenida por los socios se suela analizar </w:t>
      </w:r>
      <w:bookmarkStart w:id="0" w:name="_GoBack"/>
      <w:bookmarkEnd w:id="0"/>
      <w:r w:rsidRPr="00C43D89">
        <w:rPr>
          <w:rFonts w:ascii="Arial" w:hAnsi="Arial" w:cs="Arial"/>
          <w:sz w:val="22"/>
          <w:szCs w:val="22"/>
          <w:lang w:val="es-ES_tradnl"/>
        </w:rPr>
        <w:t xml:space="preserve">no por su excedente contable, sino por el diferencial de precios que la sociedad paga a sus socios sobre el precio de mercado normal. Por este motivo </w:t>
      </w:r>
      <w:r w:rsidRPr="00C43D89">
        <w:rPr>
          <w:rFonts w:ascii="Arial" w:hAnsi="Arial" w:cs="Arial"/>
          <w:sz w:val="22"/>
          <w:szCs w:val="22"/>
        </w:rPr>
        <w:t>el rendimiento de las cooperativas no suele ser evaluado atendiendo exclusivamente a indicadores basados en ratios contables.</w:t>
      </w:r>
      <w:r w:rsidRPr="00C43D89">
        <w:rPr>
          <w:rFonts w:ascii="Arial" w:hAnsi="Arial" w:cs="Arial"/>
          <w:sz w:val="22"/>
          <w:szCs w:val="22"/>
          <w:lang w:val="es-ES_tradnl"/>
        </w:rPr>
        <w:t xml:space="preserve"> Por ello, en este trabajo, </w:t>
      </w:r>
      <w:r w:rsidRPr="00C43D89">
        <w:rPr>
          <w:rFonts w:ascii="Arial" w:hAnsi="Arial" w:cs="Arial"/>
          <w:sz w:val="22"/>
          <w:szCs w:val="22"/>
        </w:rPr>
        <w:t>se define una  variable relativa al logro empresarial, a partir de la técnica estadística del análisis de componentes principales, que pretende evaluar el grado de eficiencia en la consecución de sus objetivos empresariales.</w:t>
      </w:r>
    </w:p>
    <w:p w:rsidR="005362F0" w:rsidRPr="00C43D89" w:rsidRDefault="005362F0" w:rsidP="00964B25">
      <w:pPr>
        <w:jc w:val="both"/>
        <w:rPr>
          <w:rFonts w:ascii="Arial" w:hAnsi="Arial" w:cs="Arial"/>
          <w:sz w:val="22"/>
          <w:szCs w:val="22"/>
        </w:rPr>
      </w:pPr>
    </w:p>
    <w:p w:rsidR="003A11D8" w:rsidRPr="007C5634" w:rsidRDefault="003A11D8" w:rsidP="005362F0">
      <w:pPr>
        <w:jc w:val="both"/>
        <w:rPr>
          <w:rFonts w:ascii="Arial" w:hAnsi="Arial" w:cs="Arial"/>
          <w:sz w:val="22"/>
          <w:szCs w:val="22"/>
        </w:rPr>
      </w:pPr>
    </w:p>
    <w:p w:rsidR="007C5634" w:rsidRPr="007C5634" w:rsidRDefault="000D79F9" w:rsidP="007C5634">
      <w:pPr>
        <w:pStyle w:val="Textoresumen"/>
        <w:spacing w:before="0" w:after="0"/>
        <w:ind w:left="708" w:hanging="708"/>
        <w:jc w:val="both"/>
        <w:rPr>
          <w:rFonts w:ascii="Arial" w:hAnsi="Arial" w:cs="Arial"/>
          <w:i w:val="0"/>
        </w:rPr>
      </w:pPr>
      <w:r w:rsidRPr="007C5634">
        <w:rPr>
          <w:rFonts w:ascii="Arial" w:hAnsi="Arial" w:cs="Arial"/>
          <w:b/>
          <w:i w:val="0"/>
          <w:szCs w:val="22"/>
        </w:rPr>
        <w:t>PALABRAS CLAVE</w:t>
      </w:r>
      <w:r w:rsidRPr="007C5634">
        <w:rPr>
          <w:rFonts w:ascii="Arial" w:hAnsi="Arial" w:cs="Arial"/>
          <w:i w:val="0"/>
        </w:rPr>
        <w:t>: Análisis de componentes principales, cooperativas agrarias, logro empresarial</w:t>
      </w:r>
      <w:r w:rsidR="007445D8">
        <w:rPr>
          <w:rFonts w:ascii="Arial" w:hAnsi="Arial" w:cs="Arial"/>
          <w:i w:val="0"/>
        </w:rPr>
        <w:t>.</w:t>
      </w:r>
    </w:p>
    <w:p w:rsidR="00907587" w:rsidRPr="007C5634" w:rsidRDefault="00907587" w:rsidP="00907587">
      <w:pPr>
        <w:jc w:val="both"/>
        <w:rPr>
          <w:rFonts w:ascii="Arial" w:hAnsi="Arial" w:cs="Arial"/>
          <w:b/>
          <w:sz w:val="22"/>
          <w:szCs w:val="22"/>
        </w:rPr>
      </w:pPr>
    </w:p>
    <w:p w:rsidR="00907587" w:rsidRDefault="00907587" w:rsidP="00907587">
      <w:pPr>
        <w:pStyle w:val="Textonotapie"/>
        <w:rPr>
          <w:rFonts w:ascii="Arial" w:hAnsi="Arial" w:cs="Arial"/>
          <w:sz w:val="22"/>
          <w:szCs w:val="22"/>
        </w:rPr>
      </w:pPr>
    </w:p>
    <w:p w:rsidR="00C9552F" w:rsidRPr="007C5634" w:rsidRDefault="00C9552F" w:rsidP="00907587">
      <w:pPr>
        <w:pStyle w:val="Textonotapie"/>
        <w:rPr>
          <w:rFonts w:ascii="Arial" w:hAnsi="Arial" w:cs="Arial"/>
          <w:sz w:val="22"/>
          <w:szCs w:val="22"/>
        </w:rPr>
      </w:pPr>
    </w:p>
    <w:p w:rsidR="00C9552F" w:rsidRPr="00C9552F" w:rsidRDefault="00B425CD" w:rsidP="00C9552F">
      <w:pPr>
        <w:pStyle w:val="Ttulo1"/>
        <w:rPr>
          <w:rFonts w:ascii="Arial" w:hAnsi="Arial" w:cs="Arial"/>
        </w:rPr>
      </w:pPr>
      <w:r w:rsidRPr="007C5634">
        <w:rPr>
          <w:rFonts w:ascii="Arial" w:hAnsi="Arial" w:cs="Arial"/>
        </w:rPr>
        <w:t>Introducción</w:t>
      </w:r>
      <w:r w:rsidR="009D2EEA" w:rsidRPr="007C5634">
        <w:rPr>
          <w:rFonts w:ascii="Arial" w:hAnsi="Arial" w:cs="Arial"/>
        </w:rPr>
        <w:t xml:space="preserve"> y objetivos</w:t>
      </w:r>
    </w:p>
    <w:p w:rsid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La evaluación de la eficiencia de las sociedades cooperativas ha constituido tradicionalmente un aspecto de gran interés para la economía agraria, habida cuenta de la especial caracterización que presenta este concepto en estas entidades. Es innegable que la sociedad cooperativa constituye un sujeto jurídico empresarial con notables particularidades derivadas tanto de su regulación legal propia (y diferenciada) como del marco ideológico que le imprimen los principios cooperativos. La gestión democrática ejercida por los socios viene legitimada por su participación activa en los procesos productivos de la empresa. A través de esta participación se logra el objeto social de la cooperativa y, de este modo, se cumplen las expectativas y necesidades de sus socios, lo que justifica la propia existenci</w:t>
      </w:r>
      <w:r w:rsidR="00C9552F">
        <w:rPr>
          <w:rFonts w:ascii="Arial" w:eastAsia="Times New Roman" w:hAnsi="Arial" w:cs="Arial"/>
          <w:lang w:val="es-ES" w:eastAsia="es-ES"/>
        </w:rPr>
        <w:t>a de la entidad (Prieto, 2001).</w:t>
      </w:r>
    </w:p>
    <w:p w:rsidR="00EE4EFF"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Por este motivo la literatura ha subrayado la importancia que la estructura de propiedad característica de las cooperativas tiene en la competitividad de las mismas, de modo que la participación del socio en el proceso de producción y/o comercialización junto con su participación en los resultados mejora la competitividad de la empresa (Moyano </w:t>
      </w:r>
      <w:r w:rsidRPr="0014069F">
        <w:rPr>
          <w:rFonts w:ascii="Arial" w:eastAsia="Times New Roman" w:hAnsi="Arial" w:cs="Arial"/>
          <w:i/>
          <w:lang w:val="es-ES" w:eastAsia="es-ES"/>
        </w:rPr>
        <w:t>et al.,</w:t>
      </w:r>
      <w:r w:rsidR="00EE4EFF" w:rsidRPr="0014069F">
        <w:rPr>
          <w:rFonts w:ascii="Arial" w:eastAsia="Times New Roman" w:hAnsi="Arial" w:cs="Arial"/>
          <w:lang w:val="es-ES" w:eastAsia="es-ES"/>
        </w:rPr>
        <w:t xml:space="preserve"> 2008). Ello implica que los objetivos de eficacia y eficiencia, comunes para cualquier tipo de empresa, deben quedar supeditados, en el caso de la cooperativa, al mantenimiento del compromiso del socio c</w:t>
      </w:r>
      <w:r w:rsidRPr="0014069F">
        <w:rPr>
          <w:rFonts w:ascii="Arial" w:eastAsia="Times New Roman" w:hAnsi="Arial" w:cs="Arial"/>
          <w:lang w:val="es-ES" w:eastAsia="es-ES"/>
        </w:rPr>
        <w:t>on la entidad y que debería alcanzarse mediante una adecuada gestión empresarial que genere beneficios de los que participen los socios.</w:t>
      </w:r>
    </w:p>
    <w:p w:rsid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Por ello, la medición del rendimiento de las sociedades cooperativas debe necesariamente evaluar el grado de consecución de sus objetivos a dos niveles, empresarial y social, coherentemente con la doble dimensión que se atribuye a este tipo de </w:t>
      </w:r>
      <w:r w:rsidRPr="0014069F">
        <w:rPr>
          <w:rFonts w:ascii="Arial" w:eastAsia="Times New Roman" w:hAnsi="Arial" w:cs="Arial"/>
          <w:lang w:val="es-ES" w:eastAsia="es-ES"/>
        </w:rPr>
        <w:lastRenderedPageBreak/>
        <w:t>organizaciones, si bien éste constituye un asunto no resuelto y sobre el que se pueden encontrar disparidad d</w:t>
      </w:r>
      <w:r w:rsidR="00C9552F">
        <w:rPr>
          <w:rFonts w:ascii="Arial" w:eastAsia="Times New Roman" w:hAnsi="Arial" w:cs="Arial"/>
          <w:lang w:val="es-ES" w:eastAsia="es-ES"/>
        </w:rPr>
        <w:t>e opiniones.</w:t>
      </w:r>
    </w:p>
    <w:p w:rsid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En líneas generales, las cooperativas actúan en el mercado para obtener el mejor precio en su actividad y realizan actividades mercantiles cuyo lucro se puede distribuir a los socios de dos formas: vía precios de liquidación o a través de la distribución de los excedentes generados (AECA, 2009). Sin embargo algunos autores han evidenciado que el precio de liquidación a los socios constituye el indicador más valorado del grado de desempeño de la cooperativa, lo que parece revelar que éstos actúen más como proveedores que como propietarios y, en consecuencia, que su principal preocupación sea la consecución de unos resultados a corto plazo (Vargas y García, 2003; Encinas </w:t>
      </w:r>
      <w:r w:rsidRPr="0014069F">
        <w:rPr>
          <w:rFonts w:ascii="Arial" w:eastAsia="Times New Roman" w:hAnsi="Arial" w:cs="Arial"/>
          <w:i/>
          <w:lang w:val="es-ES" w:eastAsia="es-ES"/>
        </w:rPr>
        <w:t>et al.,</w:t>
      </w:r>
      <w:r w:rsidR="00180C7A" w:rsidRPr="0014069F">
        <w:rPr>
          <w:rFonts w:ascii="Arial" w:eastAsia="Times New Roman" w:hAnsi="Arial" w:cs="Arial"/>
          <w:lang w:val="es-ES" w:eastAsia="es-ES"/>
        </w:rPr>
        <w:t xml:space="preserve"> 2010</w:t>
      </w:r>
      <w:r w:rsidR="00D35BD1" w:rsidRPr="0014069F">
        <w:rPr>
          <w:rFonts w:ascii="Arial" w:eastAsia="Times New Roman" w:hAnsi="Arial" w:cs="Arial"/>
          <w:lang w:val="es-ES" w:eastAsia="es-ES"/>
        </w:rPr>
        <w:t>).</w:t>
      </w:r>
    </w:p>
    <w:p w:rsidR="00C10868" w:rsidRPr="0014069F" w:rsidRDefault="00C10868" w:rsidP="00C9552F">
      <w:pPr>
        <w:pStyle w:val="Prrafodelista"/>
        <w:spacing w:before="120" w:after="0" w:line="240" w:lineRule="auto"/>
        <w:ind w:left="0" w:firstLine="567"/>
        <w:contextualSpacing w:val="0"/>
        <w:jc w:val="both"/>
        <w:rPr>
          <w:rFonts w:ascii="Arial" w:hAnsi="Arial" w:cs="Arial"/>
        </w:rPr>
      </w:pPr>
      <w:r w:rsidRPr="0014069F">
        <w:rPr>
          <w:rFonts w:ascii="Arial" w:eastAsia="Times New Roman" w:hAnsi="Arial" w:cs="Arial"/>
          <w:lang w:val="es-ES" w:eastAsia="es-ES"/>
        </w:rPr>
        <w:t xml:space="preserve">En efecto, </w:t>
      </w:r>
      <w:r w:rsidRPr="0014069F">
        <w:rPr>
          <w:rFonts w:ascii="Arial" w:hAnsi="Arial" w:cs="Arial"/>
        </w:rPr>
        <w:t>e</w:t>
      </w:r>
      <w:r w:rsidR="000D79F9" w:rsidRPr="0014069F">
        <w:rPr>
          <w:rFonts w:ascii="Arial" w:hAnsi="Arial" w:cs="Arial"/>
        </w:rPr>
        <w:t>s habitual que las cooperativas agrarias, a diferencia de las sociedades capitalistas, no sigan una política de maximización de sus beneficios sino que persigan básicamente incrementar al máximo las liquidaciones que realizan a sus socios por los productos que éstos entregan a la cooperativa, es decir, la maximización de la utilidad del socio. Este hecho determina que la rentabilidad obtenida por los socios de una cooperativa agraria se suela analizar no por su excedente contable, sino por el diferencial de precios que la sociedad paga a sus socios sobre el precio de mercado normal.</w:t>
      </w:r>
    </w:p>
    <w:p w:rsidR="007D3702" w:rsidRPr="0014069F" w:rsidRDefault="000D79F9" w:rsidP="00C9552F">
      <w:pPr>
        <w:pStyle w:val="Prrafodelista"/>
        <w:spacing w:before="120" w:after="0" w:line="240" w:lineRule="auto"/>
        <w:ind w:left="0" w:firstLine="567"/>
        <w:contextualSpacing w:val="0"/>
        <w:jc w:val="both"/>
        <w:rPr>
          <w:rFonts w:ascii="Arial" w:hAnsi="Arial" w:cs="Arial"/>
        </w:rPr>
      </w:pPr>
      <w:r w:rsidRPr="0014069F">
        <w:rPr>
          <w:rFonts w:ascii="Arial" w:hAnsi="Arial" w:cs="Arial"/>
        </w:rPr>
        <w:t xml:space="preserve">Por este motivo el rendimiento de las cooperativas no suele ser evaluado atendiendo exclusivamente a indicadores basados en ratios contables y los indicadores utilizados con mayor frecuencia para su medición han sido la eficiencia (Vidal </w:t>
      </w:r>
      <w:r w:rsidRPr="0014069F">
        <w:rPr>
          <w:rFonts w:ascii="Arial" w:hAnsi="Arial" w:cs="Arial"/>
          <w:i/>
        </w:rPr>
        <w:t>et al.,</w:t>
      </w:r>
      <w:r w:rsidR="00342F39" w:rsidRPr="0014069F">
        <w:rPr>
          <w:rFonts w:ascii="Arial" w:hAnsi="Arial" w:cs="Arial"/>
        </w:rPr>
        <w:t xml:space="preserve"> 2000; </w:t>
      </w:r>
      <w:r w:rsidR="0082017B" w:rsidRPr="0014069F">
        <w:rPr>
          <w:rFonts w:ascii="Arial" w:hAnsi="Arial" w:cs="Arial"/>
        </w:rPr>
        <w:t xml:space="preserve">Sabaté, 2002; </w:t>
      </w:r>
      <w:r w:rsidR="00373A4F" w:rsidRPr="0014069F">
        <w:rPr>
          <w:rFonts w:ascii="Arial" w:hAnsi="Arial" w:cs="Arial"/>
        </w:rPr>
        <w:t xml:space="preserve">Guzmán </w:t>
      </w:r>
      <w:r w:rsidRPr="0014069F">
        <w:rPr>
          <w:rFonts w:ascii="Arial" w:hAnsi="Arial" w:cs="Arial"/>
          <w:i/>
        </w:rPr>
        <w:t>et al</w:t>
      </w:r>
      <w:r w:rsidR="00D46CD2" w:rsidRPr="0014069F">
        <w:rPr>
          <w:rFonts w:ascii="Arial" w:hAnsi="Arial" w:cs="Arial"/>
          <w:i/>
        </w:rPr>
        <w:t>.</w:t>
      </w:r>
      <w:r w:rsidRPr="0014069F">
        <w:rPr>
          <w:rFonts w:ascii="Arial" w:hAnsi="Arial" w:cs="Arial"/>
          <w:i/>
        </w:rPr>
        <w:t>,</w:t>
      </w:r>
      <w:r w:rsidR="007D3702" w:rsidRPr="0014069F">
        <w:rPr>
          <w:rFonts w:ascii="Arial" w:hAnsi="Arial" w:cs="Arial"/>
        </w:rPr>
        <w:t xml:space="preserve"> 2006;</w:t>
      </w:r>
      <w:r w:rsidR="002E0198" w:rsidRPr="0014069F">
        <w:rPr>
          <w:rFonts w:ascii="Arial" w:hAnsi="Arial" w:cs="Arial"/>
        </w:rPr>
        <w:t xml:space="preserve"> Salazar y Galve</w:t>
      </w:r>
      <w:r w:rsidR="00C10868" w:rsidRPr="0014069F">
        <w:rPr>
          <w:rFonts w:ascii="Arial" w:hAnsi="Arial" w:cs="Arial"/>
        </w:rPr>
        <w:t>, 2011</w:t>
      </w:r>
      <w:r w:rsidR="00373A4F" w:rsidRPr="0014069F">
        <w:rPr>
          <w:rFonts w:ascii="Arial" w:hAnsi="Arial" w:cs="Arial"/>
        </w:rPr>
        <w:t>)</w:t>
      </w:r>
      <w:r w:rsidRPr="0014069F">
        <w:rPr>
          <w:rFonts w:ascii="Arial" w:hAnsi="Arial" w:cs="Arial"/>
        </w:rPr>
        <w:t xml:space="preserve">, la rentabilidad (Sabaté </w:t>
      </w:r>
      <w:r w:rsidRPr="0014069F">
        <w:rPr>
          <w:rFonts w:ascii="Arial" w:hAnsi="Arial" w:cs="Arial"/>
          <w:i/>
        </w:rPr>
        <w:t>et al.,</w:t>
      </w:r>
      <w:r w:rsidR="0082017B" w:rsidRPr="0014069F">
        <w:rPr>
          <w:rFonts w:ascii="Arial" w:hAnsi="Arial" w:cs="Arial"/>
        </w:rPr>
        <w:t xml:space="preserve"> 2000</w:t>
      </w:r>
      <w:r w:rsidR="006266FA" w:rsidRPr="0014069F">
        <w:rPr>
          <w:rFonts w:ascii="Arial" w:hAnsi="Arial" w:cs="Arial"/>
        </w:rPr>
        <w:t>; Moyano y Fidalgo, 2001</w:t>
      </w:r>
      <w:r w:rsidR="00C10868" w:rsidRPr="0014069F">
        <w:rPr>
          <w:rFonts w:ascii="Arial" w:hAnsi="Arial" w:cs="Arial"/>
        </w:rPr>
        <w:t xml:space="preserve">; Guzmán </w:t>
      </w:r>
      <w:r w:rsidRPr="0014069F">
        <w:rPr>
          <w:rFonts w:ascii="Arial" w:hAnsi="Arial" w:cs="Arial"/>
          <w:i/>
        </w:rPr>
        <w:t>et al.,</w:t>
      </w:r>
      <w:r w:rsidR="00C10868" w:rsidRPr="0014069F">
        <w:rPr>
          <w:rFonts w:ascii="Arial" w:hAnsi="Arial" w:cs="Arial"/>
        </w:rPr>
        <w:t xml:space="preserve"> 2006</w:t>
      </w:r>
      <w:r w:rsidR="00373A4F" w:rsidRPr="0014069F">
        <w:rPr>
          <w:rFonts w:ascii="Arial" w:hAnsi="Arial" w:cs="Arial"/>
        </w:rPr>
        <w:t>)</w:t>
      </w:r>
      <w:r w:rsidR="008222D0" w:rsidRPr="0014069F">
        <w:rPr>
          <w:rFonts w:ascii="Arial" w:hAnsi="Arial" w:cs="Arial"/>
        </w:rPr>
        <w:t xml:space="preserve"> y la productividad</w:t>
      </w:r>
      <w:r w:rsidR="00B76943" w:rsidRPr="0014069F">
        <w:rPr>
          <w:rFonts w:ascii="Arial" w:hAnsi="Arial" w:cs="Arial"/>
        </w:rPr>
        <w:t xml:space="preserve"> (Galdeano, 2006)</w:t>
      </w:r>
      <w:r w:rsidRPr="0014069F">
        <w:rPr>
          <w:rFonts w:ascii="Arial" w:hAnsi="Arial" w:cs="Arial"/>
        </w:rPr>
        <w:t>, en ocasiones utilizadas de forma combinada. Estos trabajos han tenido orientaciones que han variado desde perspectivas económico contables hasta la estimación de fronteras de eficiencia mediante la utilización de métodos paramétricos y no paramétricos</w:t>
      </w:r>
      <w:r w:rsidR="00FD6D09" w:rsidRPr="0014069F">
        <w:rPr>
          <w:rStyle w:val="Refdenotaalpie"/>
          <w:rFonts w:ascii="Arial" w:hAnsi="Arial" w:cs="Arial"/>
        </w:rPr>
        <w:footnoteReference w:id="1"/>
      </w:r>
      <w:r w:rsidRPr="0014069F">
        <w:rPr>
          <w:rFonts w:ascii="Arial" w:hAnsi="Arial" w:cs="Arial"/>
        </w:rPr>
        <w:t>.</w:t>
      </w:r>
    </w:p>
    <w:p w:rsidR="006A3E4C" w:rsidRPr="0014069F" w:rsidRDefault="00924A03" w:rsidP="00C9552F">
      <w:pPr>
        <w:pStyle w:val="Prrafodelista"/>
        <w:spacing w:before="120" w:after="0" w:line="240" w:lineRule="auto"/>
        <w:ind w:left="0" w:firstLine="567"/>
        <w:contextualSpacing w:val="0"/>
        <w:jc w:val="both"/>
        <w:rPr>
          <w:rFonts w:ascii="Arial" w:hAnsi="Arial" w:cs="Arial"/>
        </w:rPr>
      </w:pPr>
      <w:r w:rsidRPr="0014069F">
        <w:rPr>
          <w:rFonts w:ascii="Arial" w:hAnsi="Arial" w:cs="Arial"/>
        </w:rPr>
        <w:t>En este trabajo, el objetivo es determinar</w:t>
      </w:r>
      <w:r w:rsidR="00C9552F">
        <w:rPr>
          <w:rFonts w:ascii="Arial" w:hAnsi="Arial" w:cs="Arial"/>
        </w:rPr>
        <w:t>,</w:t>
      </w:r>
      <w:r w:rsidRPr="0014069F">
        <w:rPr>
          <w:rFonts w:ascii="Arial" w:hAnsi="Arial" w:cs="Arial"/>
        </w:rPr>
        <w:t xml:space="preserve"> a partir de</w:t>
      </w:r>
      <w:r w:rsidR="000D79F9" w:rsidRPr="0014069F">
        <w:rPr>
          <w:rFonts w:ascii="Arial" w:hAnsi="Arial" w:cs="Arial"/>
        </w:rPr>
        <w:t xml:space="preserve"> los estados financieros divulgados por las entidades objeto de estudio a través de una base de datos (SABI), el </w:t>
      </w:r>
      <w:r w:rsidR="000D79F9" w:rsidRPr="00C9552F">
        <w:rPr>
          <w:rFonts w:ascii="Arial" w:hAnsi="Arial" w:cs="Arial"/>
          <w:i/>
        </w:rPr>
        <w:t>rendimiento</w:t>
      </w:r>
      <w:r w:rsidR="000D79F9" w:rsidRPr="0014069F">
        <w:rPr>
          <w:rFonts w:ascii="Arial" w:hAnsi="Arial" w:cs="Arial"/>
        </w:rPr>
        <w:t xml:space="preserve"> o </w:t>
      </w:r>
      <w:r w:rsidR="000D79F9" w:rsidRPr="00C9552F">
        <w:rPr>
          <w:rFonts w:ascii="Arial" w:hAnsi="Arial" w:cs="Arial"/>
          <w:b/>
          <w:i/>
        </w:rPr>
        <w:t>logro empresarial</w:t>
      </w:r>
      <w:r w:rsidR="000D79F9" w:rsidRPr="0014069F">
        <w:rPr>
          <w:rFonts w:ascii="Arial" w:hAnsi="Arial" w:cs="Arial"/>
        </w:rPr>
        <w:t xml:space="preserve">. No obstante entendemos que esta medida del logro empresarial debe evaluar dos aspectos diferenciados: por una parte, la satisfacción de las expectativas de los socios que, en atención a las prioridades de éstos señaladas anteriormente, se evaluará a través de los precios de liquidación pagados por la cooperativa. Pero por otra parte, también es preciso reconocer que la cooperativa es una empresa y que, como tal, debe lograr unos objetivos en relación con la actividad económica que desarrolla. </w:t>
      </w:r>
    </w:p>
    <w:p w:rsidR="0033473E" w:rsidRDefault="000D79F9" w:rsidP="00C9552F">
      <w:pPr>
        <w:pStyle w:val="Prrafodelista"/>
        <w:spacing w:before="120" w:after="0" w:line="240" w:lineRule="auto"/>
        <w:ind w:left="0" w:firstLine="567"/>
        <w:contextualSpacing w:val="0"/>
        <w:jc w:val="both"/>
        <w:rPr>
          <w:rFonts w:ascii="Arial" w:hAnsi="Arial" w:cs="Arial"/>
        </w:rPr>
      </w:pPr>
      <w:r w:rsidRPr="0014069F">
        <w:rPr>
          <w:rFonts w:ascii="Arial" w:hAnsi="Arial" w:cs="Arial"/>
        </w:rPr>
        <w:t>Para ello, y evitando una definición limitada del logro empresarial restringida a un único ratio contable, se ha obtenido una variable a través de la técnica estadística del Análisis Factorial de Componentes Principales (ACP). Mediante este procedimiento de análisis multivariable es posible hallar la estructura subyacente en un conjunto de datos, simplificando y reduciendo el número de variables inicialmente consideradas. De esta forma, a partir de diversas variables (ratios contables) relativas fundamentalmente a la cuenta de pérdidas y ganancias de la muestra de cooperativas, se obtiene una nueva variable que se ha denominado “</w:t>
      </w:r>
      <w:r w:rsidRPr="0014069F">
        <w:rPr>
          <w:rFonts w:ascii="Arial" w:hAnsi="Arial" w:cs="Arial"/>
          <w:i/>
        </w:rPr>
        <w:t>Logro empresarial</w:t>
      </w:r>
      <w:r w:rsidRPr="0014069F">
        <w:rPr>
          <w:rFonts w:ascii="Arial" w:hAnsi="Arial" w:cs="Arial"/>
        </w:rPr>
        <w:t xml:space="preserve">”. </w:t>
      </w:r>
    </w:p>
    <w:p w:rsidR="00C9552F" w:rsidRPr="0014069F" w:rsidRDefault="00C9552F" w:rsidP="00C9552F">
      <w:pPr>
        <w:pStyle w:val="Prrafodelista"/>
        <w:spacing w:before="120" w:after="0" w:line="240" w:lineRule="auto"/>
        <w:ind w:left="0" w:firstLine="567"/>
        <w:contextualSpacing w:val="0"/>
        <w:jc w:val="both"/>
        <w:rPr>
          <w:rFonts w:ascii="Arial" w:hAnsi="Arial" w:cs="Arial"/>
        </w:rPr>
      </w:pPr>
    </w:p>
    <w:p w:rsidR="003527AA" w:rsidRPr="007C5634" w:rsidRDefault="000D79F9" w:rsidP="00C9552F">
      <w:pPr>
        <w:pStyle w:val="Ttulo1"/>
        <w:spacing w:before="120" w:after="0"/>
        <w:rPr>
          <w:rFonts w:ascii="Arial" w:hAnsi="Arial" w:cs="Arial"/>
        </w:rPr>
      </w:pPr>
      <w:r w:rsidRPr="007C5634">
        <w:rPr>
          <w:rFonts w:ascii="Arial" w:hAnsi="Arial" w:cs="Arial"/>
        </w:rPr>
        <w:t>Metodología de la investigación</w:t>
      </w:r>
    </w:p>
    <w:p w:rsidR="003527AA" w:rsidRPr="007C5634" w:rsidRDefault="000D79F9" w:rsidP="00C9552F">
      <w:pPr>
        <w:pStyle w:val="Ttulo2"/>
        <w:spacing w:after="0"/>
        <w:rPr>
          <w:rFonts w:ascii="Arial" w:hAnsi="Arial" w:cs="Arial"/>
          <w:sz w:val="24"/>
        </w:rPr>
      </w:pPr>
      <w:r w:rsidRPr="007C5634">
        <w:rPr>
          <w:rFonts w:ascii="Arial" w:hAnsi="Arial" w:cs="Arial"/>
          <w:sz w:val="24"/>
        </w:rPr>
        <w:t>Selección de la muestra</w:t>
      </w:r>
    </w:p>
    <w:p w:rsidR="00385956" w:rsidRPr="0014069F" w:rsidRDefault="000D79F9" w:rsidP="00C9552F">
      <w:pPr>
        <w:pStyle w:val="Prrafodelista"/>
        <w:spacing w:before="120" w:after="0" w:line="240" w:lineRule="auto"/>
        <w:ind w:left="0" w:firstLine="709"/>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La población objeto de estudio está constituida por el conjunto de sociedades cooperativas dedicadas a actividades agrarias y con ámbito geográfico extendido a todo el territorio español. Esto supone una población total de 3.989 cooperativas, según datos de </w:t>
      </w:r>
      <w:r w:rsidRPr="0014069F">
        <w:rPr>
          <w:rFonts w:ascii="Arial" w:eastAsia="Times New Roman" w:hAnsi="Arial" w:cs="Arial"/>
          <w:lang w:val="es-ES" w:eastAsia="es-ES"/>
        </w:rPr>
        <w:lastRenderedPageBreak/>
        <w:t>Cooperativas Agro-alimentarias (20</w:t>
      </w:r>
      <w:r w:rsidR="007F3448" w:rsidRPr="0014069F">
        <w:rPr>
          <w:rFonts w:ascii="Arial" w:eastAsia="Times New Roman" w:hAnsi="Arial" w:cs="Arial"/>
          <w:lang w:val="es-ES" w:eastAsia="es-ES"/>
        </w:rPr>
        <w:t>11</w:t>
      </w:r>
      <w:r w:rsidRPr="0014069F">
        <w:rPr>
          <w:rFonts w:ascii="Arial" w:eastAsia="Times New Roman" w:hAnsi="Arial" w:cs="Arial"/>
          <w:lang w:val="es-ES" w:eastAsia="es-ES"/>
        </w:rPr>
        <w:t>), lo que evidentemente conduce a la necesidad de obtener una muestra estadísticamente representativa de dicha población sobre la que se puedan aplicar los análisis estadísticos de forma operativa.</w:t>
      </w:r>
    </w:p>
    <w:p w:rsidR="00385956" w:rsidRPr="0014069F" w:rsidRDefault="000D79F9" w:rsidP="00C9552F">
      <w:pPr>
        <w:pStyle w:val="Prrafodelista"/>
        <w:spacing w:before="120" w:after="0" w:line="240" w:lineRule="auto"/>
        <w:ind w:left="0" w:firstLine="709"/>
        <w:contextualSpacing w:val="0"/>
        <w:jc w:val="both"/>
        <w:rPr>
          <w:rFonts w:ascii="Arial" w:eastAsia="Times New Roman" w:hAnsi="Arial" w:cs="Arial"/>
          <w:lang w:val="es-ES" w:eastAsia="es-ES"/>
        </w:rPr>
      </w:pPr>
      <w:r w:rsidRPr="0014069F">
        <w:rPr>
          <w:rFonts w:ascii="Arial" w:eastAsia="Times New Roman" w:hAnsi="Arial" w:cs="Arial"/>
          <w:lang w:val="es-ES" w:eastAsia="es-ES"/>
        </w:rPr>
        <w:t>Dado que los requisitos informativos para el estudio son de naturaleza contable, la selección de la muestra se ha realizado a partir de la información proporcionada por la base de datos financieros SABI (Sistemas de Análisis de Balances Ibéricos, actualización noviembre de 2011). Esta base de datos es elaborada por Bureau Van Dijk Electronic Publishing e Informa, y recoge la información económico-financiera de más de 550.000 empresas españolas.</w:t>
      </w:r>
    </w:p>
    <w:p w:rsidR="00385956" w:rsidRPr="0014069F" w:rsidRDefault="000D79F9" w:rsidP="00C9552F">
      <w:pPr>
        <w:pStyle w:val="Prrafodelista"/>
        <w:spacing w:before="120" w:after="0" w:line="240" w:lineRule="auto"/>
        <w:ind w:left="0" w:firstLine="709"/>
        <w:contextualSpacing w:val="0"/>
        <w:jc w:val="both"/>
        <w:rPr>
          <w:rFonts w:ascii="Arial" w:eastAsia="Times New Roman" w:hAnsi="Arial" w:cs="Arial"/>
          <w:lang w:val="es-ES" w:eastAsia="es-ES"/>
        </w:rPr>
      </w:pPr>
      <w:r w:rsidRPr="0014069F">
        <w:rPr>
          <w:rFonts w:ascii="Arial" w:eastAsia="Times New Roman" w:hAnsi="Arial" w:cs="Arial"/>
          <w:lang w:val="es-ES" w:eastAsia="es-ES"/>
        </w:rPr>
        <w:t>La búsqueda se realizó en base a los siguientes criterios:</w:t>
      </w:r>
    </w:p>
    <w:p w:rsidR="00385956" w:rsidRPr="0014069F" w:rsidRDefault="000D79F9" w:rsidP="00C9552F">
      <w:pPr>
        <w:pStyle w:val="Prrafodelista"/>
        <w:numPr>
          <w:ilvl w:val="0"/>
          <w:numId w:val="14"/>
        </w:numPr>
        <w:spacing w:before="120" w:after="0" w:line="240" w:lineRule="auto"/>
        <w:contextualSpacing w:val="0"/>
        <w:jc w:val="both"/>
        <w:rPr>
          <w:rFonts w:ascii="Arial" w:eastAsia="Times New Roman" w:hAnsi="Arial" w:cs="Arial"/>
          <w:lang w:val="es-ES" w:eastAsia="es-ES"/>
        </w:rPr>
      </w:pPr>
      <w:r w:rsidRPr="0014069F">
        <w:rPr>
          <w:rFonts w:ascii="Arial" w:eastAsia="Times New Roman" w:hAnsi="Arial" w:cs="Arial"/>
          <w:lang w:val="es-ES" w:eastAsia="es-ES"/>
        </w:rPr>
        <w:t>Forma jurídica de la empresa: Cooperativa. La base de datos incluye también bajo este grupo a las Sociedades Agrarias de Transformación (SAT), sin embargo las entidades de este tipo han sido eliminadas de la muestra a fin de centrar el análisis en la figura cooperativa.</w:t>
      </w:r>
    </w:p>
    <w:p w:rsidR="00385956" w:rsidRPr="0014069F" w:rsidRDefault="000D79F9" w:rsidP="00C9552F">
      <w:pPr>
        <w:pStyle w:val="Prrafodelista"/>
        <w:numPr>
          <w:ilvl w:val="0"/>
          <w:numId w:val="14"/>
        </w:numPr>
        <w:spacing w:before="120" w:after="0" w:line="240" w:lineRule="auto"/>
        <w:contextualSpacing w:val="0"/>
        <w:jc w:val="both"/>
        <w:rPr>
          <w:rFonts w:ascii="Arial" w:eastAsia="Times New Roman" w:hAnsi="Arial" w:cs="Arial"/>
          <w:lang w:val="es-ES" w:eastAsia="es-ES"/>
        </w:rPr>
      </w:pPr>
      <w:r w:rsidRPr="0014069F">
        <w:rPr>
          <w:rFonts w:ascii="Arial" w:eastAsia="Times New Roman" w:hAnsi="Arial" w:cs="Arial"/>
          <w:lang w:val="es-ES" w:eastAsia="es-ES"/>
        </w:rPr>
        <w:t>Sector actividad: se seleccionaron, según clasificación de la CNAE 2009, los sectores de actividad pertenecientes al código 01 (Agricultura, Ganadería, Caza y servicios relacionados con la misma) y al código 10 (Industria de la Alimentación).</w:t>
      </w:r>
    </w:p>
    <w:p w:rsidR="00385956" w:rsidRPr="0014069F" w:rsidRDefault="000D79F9" w:rsidP="00C9552F">
      <w:pPr>
        <w:pStyle w:val="Prrafodelista"/>
        <w:numPr>
          <w:ilvl w:val="0"/>
          <w:numId w:val="14"/>
        </w:numPr>
        <w:spacing w:before="120" w:after="0" w:line="240" w:lineRule="auto"/>
        <w:contextualSpacing w:val="0"/>
        <w:jc w:val="both"/>
        <w:rPr>
          <w:rFonts w:ascii="Arial" w:eastAsia="Times New Roman" w:hAnsi="Arial" w:cs="Arial"/>
          <w:lang w:val="es-ES" w:eastAsia="es-ES"/>
        </w:rPr>
      </w:pPr>
      <w:r w:rsidRPr="0014069F">
        <w:rPr>
          <w:rFonts w:ascii="Arial" w:eastAsia="Times New Roman" w:hAnsi="Arial" w:cs="Arial"/>
          <w:lang w:val="es-ES" w:eastAsia="es-ES"/>
        </w:rPr>
        <w:t>Número de empleados: mínimo 1.</w:t>
      </w:r>
    </w:p>
    <w:p w:rsidR="00385956" w:rsidRPr="0014069F" w:rsidRDefault="000D79F9" w:rsidP="00C9552F">
      <w:pPr>
        <w:pStyle w:val="Prrafodelista"/>
        <w:numPr>
          <w:ilvl w:val="0"/>
          <w:numId w:val="14"/>
        </w:numPr>
        <w:spacing w:before="120" w:after="0" w:line="240" w:lineRule="auto"/>
        <w:contextualSpacing w:val="0"/>
        <w:jc w:val="both"/>
        <w:rPr>
          <w:rFonts w:ascii="Arial" w:eastAsia="Times New Roman" w:hAnsi="Arial" w:cs="Arial"/>
          <w:lang w:val="es-ES" w:eastAsia="es-ES"/>
        </w:rPr>
      </w:pPr>
      <w:r w:rsidRPr="0014069F">
        <w:rPr>
          <w:rFonts w:ascii="Arial" w:eastAsia="Times New Roman" w:hAnsi="Arial" w:cs="Arial"/>
          <w:lang w:val="es-ES" w:eastAsia="es-ES"/>
        </w:rPr>
        <w:t>Disponibilidad de cuentas: 2007, 2008 y 2009.</w:t>
      </w:r>
    </w:p>
    <w:p w:rsidR="00385956" w:rsidRPr="0014069F" w:rsidRDefault="000D79F9" w:rsidP="00C9552F">
      <w:pPr>
        <w:pStyle w:val="Prrafodelista"/>
        <w:spacing w:before="120" w:after="0" w:line="240" w:lineRule="auto"/>
        <w:ind w:left="0" w:firstLine="709"/>
        <w:contextualSpacing w:val="0"/>
        <w:jc w:val="both"/>
        <w:rPr>
          <w:rFonts w:ascii="Arial" w:eastAsia="Times New Roman" w:hAnsi="Arial" w:cs="Arial"/>
          <w:lang w:val="es-ES" w:eastAsia="es-ES"/>
        </w:rPr>
      </w:pPr>
      <w:r w:rsidRPr="0014069F">
        <w:rPr>
          <w:rFonts w:ascii="Arial" w:eastAsia="Times New Roman" w:hAnsi="Arial" w:cs="Arial"/>
          <w:lang w:val="es-ES" w:eastAsia="es-ES"/>
        </w:rPr>
        <w:t>Las empresas seleccionadas a partir de la búsqueda anterior fueron sometidas a continuación a una depuración, eliminando todas aquellas que presentaban bien datos inconsistentes, tales como recursos propios negativos, o bien escasez de información en los aspectos considerados relevantes para el estudio. La información económico-financiera relativa al ejercicio 2009 de las 181 cooperativas resultantes que constituyen la muestra definitiva es la base del presente trabajo.</w:t>
      </w:r>
    </w:p>
    <w:p w:rsidR="00385956" w:rsidRPr="007C5634" w:rsidRDefault="00385956" w:rsidP="00C9552F">
      <w:pPr>
        <w:pStyle w:val="Prrafodelista"/>
        <w:spacing w:before="120" w:after="0" w:line="240" w:lineRule="auto"/>
        <w:ind w:left="0"/>
        <w:contextualSpacing w:val="0"/>
        <w:jc w:val="both"/>
        <w:rPr>
          <w:rFonts w:ascii="Arial" w:eastAsia="Times New Roman" w:hAnsi="Arial" w:cs="Arial"/>
          <w:sz w:val="24"/>
          <w:szCs w:val="24"/>
          <w:lang w:val="es-ES" w:eastAsia="es-ES"/>
        </w:rPr>
      </w:pPr>
    </w:p>
    <w:p w:rsidR="003527AA" w:rsidRPr="007C5634" w:rsidRDefault="000D79F9" w:rsidP="00C9552F">
      <w:pPr>
        <w:pStyle w:val="Ttulo2"/>
        <w:spacing w:after="0"/>
        <w:rPr>
          <w:rFonts w:ascii="Arial" w:hAnsi="Arial" w:cs="Arial"/>
          <w:sz w:val="24"/>
        </w:rPr>
      </w:pPr>
      <w:r w:rsidRPr="007C5634">
        <w:rPr>
          <w:rFonts w:ascii="Arial" w:hAnsi="Arial" w:cs="Arial"/>
          <w:sz w:val="24"/>
        </w:rPr>
        <w:t>Caracterización de la muestra</w:t>
      </w:r>
    </w:p>
    <w:p w:rsidR="00385956"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Como paso previo al análisis estadístico de las variables se ha efectuado una caracterización de la muestra a fin de poner de manifiesto los aspectos más relevantes de la misma. En el Cuadro 1 se incluyen los resultados obtenidos. </w:t>
      </w:r>
    </w:p>
    <w:p w:rsidR="00C9552F" w:rsidRPr="0014069F" w:rsidRDefault="00C9552F"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Tal como se puede observar, los datos apuntan a una importante heterogeneidad dentro de la muestra de cooperativas, con rangos amplios en la mayoría de indicadores, diferencias notables entre los valores de media y mediana y desviaciones típicas elevadas. </w:t>
      </w:r>
    </w:p>
    <w:p w:rsidR="00C9552F" w:rsidRPr="0014069F" w:rsidRDefault="00C9552F"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Atendiendo a los valores medios obtenidos en los indicadores relativos a la dimensión (activo total, cifra de ventas y número de empleados) éstos inducirían a señalar que por término medio las cooperativas, atendiendo a la Recomendación de la Comisión Europea</w:t>
      </w:r>
      <w:r w:rsidRPr="0014069F">
        <w:rPr>
          <w:rFonts w:ascii="Arial" w:eastAsia="Times New Roman" w:hAnsi="Arial" w:cs="Arial"/>
          <w:vertAlign w:val="superscript"/>
          <w:lang w:val="es-ES" w:eastAsia="es-ES"/>
        </w:rPr>
        <w:footnoteReference w:id="2"/>
      </w:r>
      <w:r w:rsidRPr="0014069F">
        <w:rPr>
          <w:rFonts w:ascii="Arial" w:eastAsia="Times New Roman" w:hAnsi="Arial" w:cs="Arial"/>
          <w:lang w:val="es-ES" w:eastAsia="es-ES"/>
        </w:rPr>
        <w:t xml:space="preserve">, de 6 de mayo de 2003, sobre la definición de microempresas, pequeñas y medianas empresas, podrían ser consideradas </w:t>
      </w:r>
      <w:r w:rsidRPr="0014069F">
        <w:rPr>
          <w:rFonts w:ascii="Arial" w:eastAsia="Times New Roman" w:hAnsi="Arial" w:cs="Arial"/>
          <w:i/>
          <w:lang w:val="es-ES" w:eastAsia="es-ES"/>
        </w:rPr>
        <w:t>medianas</w:t>
      </w:r>
      <w:r w:rsidRPr="0014069F">
        <w:rPr>
          <w:rFonts w:ascii="Arial" w:eastAsia="Times New Roman" w:hAnsi="Arial" w:cs="Arial"/>
          <w:lang w:val="es-ES" w:eastAsia="es-ES"/>
        </w:rPr>
        <w:t xml:space="preserve"> puesto que tanto el volumen de negocio como el balance general anual superan los 10 millones de euros (límite estableciendo para diferenciar pequeñas y medianas). Por otra parte sin embargo, el número medio de empleados se sitúa en 32, por lo que siguiendo las consideraciones de la Recomendación de la Comisión en la que se indica que “el criterio del número de personas ocupadas […] sigue siendo indudablemente uno de los más significativos y tiene que imponerse como criterio principal”, debería concluirse que la clasificación como </w:t>
      </w:r>
      <w:r w:rsidRPr="0014069F">
        <w:rPr>
          <w:rFonts w:ascii="Arial" w:eastAsia="Times New Roman" w:hAnsi="Arial" w:cs="Arial"/>
          <w:i/>
          <w:lang w:val="es-ES" w:eastAsia="es-ES"/>
        </w:rPr>
        <w:t>pequeñas</w:t>
      </w:r>
      <w:r w:rsidRPr="0014069F">
        <w:rPr>
          <w:rFonts w:ascii="Arial" w:eastAsia="Times New Roman" w:hAnsi="Arial" w:cs="Arial"/>
          <w:lang w:val="es-ES" w:eastAsia="es-ES"/>
        </w:rPr>
        <w:t xml:space="preserve"> sería la más adecuada. </w:t>
      </w:r>
    </w:p>
    <w:p w:rsidR="00C9552F" w:rsidRPr="0014069F" w:rsidRDefault="00C9552F" w:rsidP="00C9552F">
      <w:pPr>
        <w:pStyle w:val="Prrafodelista"/>
        <w:spacing w:before="120" w:after="0" w:line="240" w:lineRule="auto"/>
        <w:ind w:left="0" w:firstLine="567"/>
        <w:contextualSpacing w:val="0"/>
        <w:jc w:val="both"/>
        <w:rPr>
          <w:rFonts w:ascii="Arial" w:eastAsia="Times New Roman" w:hAnsi="Arial" w:cs="Arial"/>
          <w:lang w:val="es-ES" w:eastAsia="es-ES"/>
        </w:rPr>
      </w:pPr>
    </w:p>
    <w:p w:rsidR="00AB18E0" w:rsidRPr="0014069F" w:rsidRDefault="00AB18E0" w:rsidP="007C5634">
      <w:pPr>
        <w:pStyle w:val="Prrafodelista"/>
        <w:spacing w:after="0" w:line="240" w:lineRule="auto"/>
        <w:ind w:left="0" w:firstLine="567"/>
        <w:contextualSpacing w:val="0"/>
        <w:jc w:val="both"/>
        <w:rPr>
          <w:rFonts w:ascii="Arial" w:eastAsia="Times New Roman" w:hAnsi="Arial" w:cs="Arial"/>
          <w:lang w:val="es-ES" w:eastAsia="es-ES"/>
        </w:rPr>
      </w:pPr>
    </w:p>
    <w:p w:rsidR="004F404A" w:rsidRPr="007C5634" w:rsidRDefault="000D79F9" w:rsidP="007C5634">
      <w:pPr>
        <w:pStyle w:val="Numeracindetablasyfiguras"/>
        <w:spacing w:before="0"/>
        <w:rPr>
          <w:rFonts w:ascii="Arial" w:hAnsi="Arial" w:cs="Arial"/>
          <w:sz w:val="24"/>
        </w:rPr>
      </w:pPr>
      <w:r w:rsidRPr="007C5634">
        <w:rPr>
          <w:rFonts w:ascii="Arial" w:hAnsi="Arial" w:cs="Arial"/>
          <w:sz w:val="24"/>
        </w:rPr>
        <w:t>CUADRO 1</w:t>
      </w:r>
    </w:p>
    <w:p w:rsidR="004F404A" w:rsidRPr="007C5634" w:rsidRDefault="000D79F9" w:rsidP="007C5634">
      <w:pPr>
        <w:pStyle w:val="Ttulodetablasyfiguras"/>
        <w:spacing w:after="0"/>
        <w:rPr>
          <w:rFonts w:ascii="Arial" w:hAnsi="Arial" w:cs="Arial"/>
          <w:sz w:val="24"/>
        </w:rPr>
      </w:pPr>
      <w:r w:rsidRPr="007C5634">
        <w:rPr>
          <w:rFonts w:ascii="Arial" w:hAnsi="Arial" w:cs="Arial"/>
          <w:sz w:val="24"/>
        </w:rPr>
        <w:t>Estadísticos descriptivos</w:t>
      </w:r>
    </w:p>
    <w:tbl>
      <w:tblPr>
        <w:tblW w:w="867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2"/>
        <w:gridCol w:w="1028"/>
        <w:gridCol w:w="1180"/>
        <w:gridCol w:w="1285"/>
        <w:gridCol w:w="1390"/>
        <w:gridCol w:w="1390"/>
      </w:tblGrid>
      <w:tr w:rsidR="00385956" w:rsidRPr="007C5634" w:rsidTr="001E337D">
        <w:trPr>
          <w:cantSplit/>
          <w:tblHeader/>
          <w:jc w:val="center"/>
        </w:trPr>
        <w:tc>
          <w:tcPr>
            <w:tcW w:w="240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5956" w:rsidRPr="007C5634" w:rsidRDefault="00385956" w:rsidP="007C5634">
            <w:pPr>
              <w:autoSpaceDE w:val="0"/>
              <w:autoSpaceDN w:val="0"/>
              <w:adjustRightInd w:val="0"/>
              <w:rPr>
                <w:rFonts w:ascii="Arial" w:hAnsi="Arial" w:cs="Arial"/>
              </w:rPr>
            </w:pPr>
          </w:p>
        </w:tc>
        <w:tc>
          <w:tcPr>
            <w:tcW w:w="10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5956"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Mínimo</w:t>
            </w:r>
          </w:p>
        </w:tc>
        <w:tc>
          <w:tcPr>
            <w:tcW w:w="11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5956"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Máximo</w:t>
            </w:r>
          </w:p>
        </w:tc>
        <w:tc>
          <w:tcPr>
            <w:tcW w:w="12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5956"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Media</w:t>
            </w:r>
          </w:p>
        </w:tc>
        <w:tc>
          <w:tcPr>
            <w:tcW w:w="1390" w:type="dxa"/>
            <w:tcBorders>
              <w:top w:val="single" w:sz="16" w:space="0" w:color="000000"/>
              <w:bottom w:val="single" w:sz="18" w:space="0" w:color="000000"/>
              <w:right w:val="single" w:sz="16" w:space="0" w:color="000000"/>
            </w:tcBorders>
            <w:shd w:val="clear" w:color="auto" w:fill="FFFFFF"/>
            <w:tcMar>
              <w:top w:w="30" w:type="dxa"/>
              <w:left w:w="30" w:type="dxa"/>
              <w:bottom w:w="30" w:type="dxa"/>
              <w:right w:w="30" w:type="dxa"/>
            </w:tcMar>
            <w:vAlign w:val="bottom"/>
          </w:tcPr>
          <w:p w:rsidR="00385956"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Desv. típ.</w:t>
            </w:r>
          </w:p>
        </w:tc>
        <w:tc>
          <w:tcPr>
            <w:tcW w:w="1390" w:type="dxa"/>
            <w:tcBorders>
              <w:top w:val="single" w:sz="16" w:space="0" w:color="000000"/>
              <w:bottom w:val="single" w:sz="18" w:space="0" w:color="000000"/>
              <w:right w:val="single" w:sz="16" w:space="0" w:color="000000"/>
            </w:tcBorders>
            <w:shd w:val="clear" w:color="auto" w:fill="FFFFFF"/>
          </w:tcPr>
          <w:p w:rsidR="00385956"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Mediana</w:t>
            </w:r>
          </w:p>
        </w:tc>
      </w:tr>
      <w:tr w:rsidR="00385956" w:rsidRPr="007C5634" w:rsidTr="001E337D">
        <w:trPr>
          <w:cantSplit/>
          <w:tblHeader/>
          <w:jc w:val="center"/>
        </w:trPr>
        <w:tc>
          <w:tcPr>
            <w:tcW w:w="24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Activo Total (mil €)</w:t>
            </w:r>
          </w:p>
        </w:tc>
        <w:tc>
          <w:tcPr>
            <w:tcW w:w="1028" w:type="dxa"/>
            <w:tcBorders>
              <w:top w:val="single" w:sz="16" w:space="0" w:color="000000"/>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71,00</w:t>
            </w:r>
          </w:p>
        </w:tc>
        <w:tc>
          <w:tcPr>
            <w:tcW w:w="1180" w:type="dxa"/>
            <w:tcBorders>
              <w:top w:val="single" w:sz="16" w:space="0" w:color="000000"/>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286.636,00</w:t>
            </w:r>
          </w:p>
        </w:tc>
        <w:tc>
          <w:tcPr>
            <w:tcW w:w="1285" w:type="dxa"/>
            <w:tcBorders>
              <w:top w:val="single" w:sz="16" w:space="0" w:color="000000"/>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10.170,4751</w:t>
            </w:r>
          </w:p>
        </w:tc>
        <w:tc>
          <w:tcPr>
            <w:tcW w:w="1390" w:type="dxa"/>
            <w:tcBorders>
              <w:top w:val="single" w:sz="18" w:space="0" w:color="000000"/>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33.886,96456</w:t>
            </w:r>
          </w:p>
        </w:tc>
        <w:tc>
          <w:tcPr>
            <w:tcW w:w="1390" w:type="dxa"/>
            <w:tcBorders>
              <w:top w:val="single" w:sz="18" w:space="0" w:color="000000"/>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1.667,00</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Cifra de ventas (mil €)</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5,00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439.131,00</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13.507,5359</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48.699,19862</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2.230,00</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Número empleados</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549,00</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32,4337</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75,41516</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6,00</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Variación Ventas (2008-09)</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4,32</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,9939</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,46309</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0,8986</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Endeudamiento c/p (%)</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,99</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,4094</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,23959</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0,3806</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Endeudamiento l/p (%)</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,92</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,1705</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,19020</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0,1044</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Endeudamiento (%)</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,01</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,99</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,5799</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,24293</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0,6164</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Liquidez (Activo Corriente/Pasivo Corriente)</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,08</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59,00</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2,9574</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7,04987</w:t>
            </w:r>
          </w:p>
        </w:tc>
        <w:tc>
          <w:tcPr>
            <w:tcW w:w="1390" w:type="dxa"/>
            <w:tcBorders>
              <w:top w:val="nil"/>
              <w:left w:val="single" w:sz="8" w:space="0" w:color="000000"/>
              <w:bottom w:val="nil"/>
              <w:right w:val="single" w:sz="18" w:space="0" w:color="000000"/>
            </w:tcBorders>
            <w:shd w:val="clear" w:color="auto" w:fill="FFFFFF"/>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1,2470</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Ratio Capitalización</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,01</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1,52</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,3741</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,25788</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0,3448</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 xml:space="preserve">Amortización/Gastos </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,00</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,49</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,0550</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,08282</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0,0282</w:t>
            </w:r>
          </w:p>
        </w:tc>
      </w:tr>
      <w:tr w:rsidR="00385956" w:rsidRPr="007C5634" w:rsidTr="001E337D">
        <w:trPr>
          <w:cantSplit/>
          <w:tblHeader/>
          <w:jc w:val="center"/>
        </w:trPr>
        <w:tc>
          <w:tcPr>
            <w:tcW w:w="24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Activo Corriente/ Activo Total</w:t>
            </w:r>
          </w:p>
        </w:tc>
        <w:tc>
          <w:tcPr>
            <w:tcW w:w="1028"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,01</w:t>
            </w:r>
          </w:p>
        </w:tc>
        <w:tc>
          <w:tcPr>
            <w:tcW w:w="1180"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1,00</w:t>
            </w:r>
          </w:p>
        </w:tc>
        <w:tc>
          <w:tcPr>
            <w:tcW w:w="1285" w:type="dxa"/>
            <w:tcBorders>
              <w:top w:val="nil"/>
              <w:bottom w:val="nil"/>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,5260</w:t>
            </w:r>
          </w:p>
        </w:tc>
        <w:tc>
          <w:tcPr>
            <w:tcW w:w="1390" w:type="dxa"/>
            <w:tcBorders>
              <w:top w:val="nil"/>
              <w:bottom w:val="nil"/>
              <w:right w:val="single" w:sz="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,23118</w:t>
            </w:r>
          </w:p>
        </w:tc>
        <w:tc>
          <w:tcPr>
            <w:tcW w:w="1390" w:type="dxa"/>
            <w:tcBorders>
              <w:top w:val="nil"/>
              <w:left w:val="single" w:sz="8" w:space="0" w:color="000000"/>
              <w:bottom w:val="nil"/>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0,5292</w:t>
            </w:r>
          </w:p>
        </w:tc>
      </w:tr>
      <w:tr w:rsidR="00385956" w:rsidRPr="007C5634" w:rsidTr="001E337D">
        <w:trPr>
          <w:cantSplit/>
          <w:tblHeader/>
          <w:jc w:val="center"/>
        </w:trPr>
        <w:tc>
          <w:tcPr>
            <w:tcW w:w="2402"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385956"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Rotación Activo Total</w:t>
            </w:r>
          </w:p>
        </w:tc>
        <w:tc>
          <w:tcPr>
            <w:tcW w:w="1028" w:type="dxa"/>
            <w:tcBorders>
              <w:top w:val="nil"/>
              <w:left w:val="single" w:sz="18" w:space="0" w:color="000000"/>
              <w:bottom w:val="single" w:sz="1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,03</w:t>
            </w:r>
          </w:p>
        </w:tc>
        <w:tc>
          <w:tcPr>
            <w:tcW w:w="1180" w:type="dxa"/>
            <w:tcBorders>
              <w:top w:val="nil"/>
              <w:bottom w:val="single" w:sz="1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14,70</w:t>
            </w:r>
          </w:p>
        </w:tc>
        <w:tc>
          <w:tcPr>
            <w:tcW w:w="1285" w:type="dxa"/>
            <w:tcBorders>
              <w:top w:val="nil"/>
              <w:bottom w:val="single" w:sz="18"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1,6522</w:t>
            </w:r>
          </w:p>
        </w:tc>
        <w:tc>
          <w:tcPr>
            <w:tcW w:w="1390" w:type="dxa"/>
            <w:tcBorders>
              <w:top w:val="nil"/>
              <w:bottom w:val="single" w:sz="18" w:space="0" w:color="000000"/>
              <w:right w:val="single" w:sz="12" w:space="0" w:color="000000"/>
            </w:tcBorders>
            <w:shd w:val="clear" w:color="auto" w:fill="FFFFFF"/>
            <w:tcMar>
              <w:top w:w="30" w:type="dxa"/>
              <w:left w:w="30" w:type="dxa"/>
              <w:bottom w:w="30" w:type="dxa"/>
              <w:right w:w="30" w:type="dxa"/>
            </w:tcMar>
            <w:vAlign w:val="center"/>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1,76352</w:t>
            </w:r>
          </w:p>
        </w:tc>
        <w:tc>
          <w:tcPr>
            <w:tcW w:w="1390" w:type="dxa"/>
            <w:tcBorders>
              <w:top w:val="nil"/>
              <w:bottom w:val="single" w:sz="18" w:space="0" w:color="000000"/>
              <w:right w:val="single" w:sz="18" w:space="0" w:color="000000"/>
            </w:tcBorders>
            <w:shd w:val="clear" w:color="auto" w:fill="FFFFFF"/>
          </w:tcPr>
          <w:p w:rsidR="00385956"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1,1432</w:t>
            </w:r>
          </w:p>
        </w:tc>
      </w:tr>
    </w:tbl>
    <w:p w:rsidR="005C066B" w:rsidRPr="007C5634" w:rsidRDefault="000D79F9"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r w:rsidRPr="007C5634">
        <w:rPr>
          <w:rFonts w:ascii="Arial" w:eastAsia="Times New Roman" w:hAnsi="Arial" w:cs="Arial"/>
          <w:sz w:val="18"/>
          <w:szCs w:val="18"/>
          <w:lang w:val="es-ES" w:eastAsia="es-ES"/>
        </w:rPr>
        <w:t>Fuente: Elaboración propia.</w:t>
      </w:r>
    </w:p>
    <w:p w:rsidR="00385956" w:rsidRPr="007C5634" w:rsidRDefault="00385956" w:rsidP="007C5634">
      <w:pPr>
        <w:pStyle w:val="Textoindependiente"/>
        <w:rPr>
          <w:rFonts w:ascii="Arial" w:hAnsi="Arial" w:cs="Arial"/>
        </w:rPr>
      </w:pPr>
    </w:p>
    <w:p w:rsidR="00385956"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Sin embargo, a tenor de la dispersión que se observa en los datos, parece más adecuado tomar como referencia en estas variables los valores de la mediana para realizar la clasificación. En este caso se verifican dos de las condiciones para la clasificación como </w:t>
      </w:r>
      <w:r w:rsidRPr="0014069F">
        <w:rPr>
          <w:rFonts w:ascii="Arial" w:eastAsia="Times New Roman" w:hAnsi="Arial" w:cs="Arial"/>
          <w:i/>
          <w:lang w:val="es-ES" w:eastAsia="es-ES"/>
        </w:rPr>
        <w:t>microempresa</w:t>
      </w:r>
      <w:r w:rsidRPr="0014069F">
        <w:rPr>
          <w:rFonts w:ascii="Arial" w:eastAsia="Times New Roman" w:hAnsi="Arial" w:cs="Arial"/>
          <w:lang w:val="es-ES" w:eastAsia="es-ES"/>
        </w:rPr>
        <w:t xml:space="preserve">, ya que el balance asciende a 1,67 millones de euros mientras que el número de empleados es de 6, por lo que parece adecuado concluir que deberíamos asumir que la dimensión empresarial predominante es la de </w:t>
      </w:r>
      <w:r w:rsidRPr="0014069F">
        <w:rPr>
          <w:rFonts w:ascii="Arial" w:eastAsia="Times New Roman" w:hAnsi="Arial" w:cs="Arial"/>
          <w:i/>
          <w:lang w:val="es-ES" w:eastAsia="es-ES"/>
        </w:rPr>
        <w:t>microempresa</w:t>
      </w:r>
      <w:r w:rsidRPr="0014069F">
        <w:rPr>
          <w:rFonts w:ascii="Arial" w:eastAsia="Times New Roman" w:hAnsi="Arial" w:cs="Arial"/>
          <w:lang w:val="es-ES" w:eastAsia="es-ES"/>
        </w:rPr>
        <w:t>, lo que concuerda con la realidad actual del sector cooperativo agroalimentario, caracterizado por la pequeña dimensión de sus entidades.</w:t>
      </w:r>
    </w:p>
    <w:p w:rsidR="001E337D"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El análisis anterior pone también de manifiesto la baja capitalización que en general existe en las cooperativas agroalimentarias y, en consecuencia, su dependencia de la financiación ajena, como revela la media de sus ratios de endeudamiento (58%). En cuanto a la composición de la deuda hay que señalar que del análisis descriptivo se infiere un uso más intensivo de financiación a corto plazo frente a la de largo plazo. </w:t>
      </w:r>
    </w:p>
    <w:p w:rsidR="00385956"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En relación a la variable de endeudamiento a corto plazo se observa una menor diferencia entre los valores de la media y la mediana, lo que parece indicar un comportamiento más homogéneo en este ámbito en las cooperativas que forman la muestra.</w:t>
      </w:r>
    </w:p>
    <w:p w:rsidR="002111C3" w:rsidRPr="007C5634" w:rsidRDefault="002111C3" w:rsidP="00C9552F">
      <w:pPr>
        <w:pStyle w:val="Prrafodelista"/>
        <w:spacing w:before="120" w:after="0" w:line="240" w:lineRule="auto"/>
        <w:ind w:left="0"/>
        <w:contextualSpacing w:val="0"/>
        <w:jc w:val="both"/>
        <w:rPr>
          <w:rFonts w:ascii="Arial" w:eastAsia="Times New Roman" w:hAnsi="Arial" w:cs="Arial"/>
          <w:sz w:val="24"/>
          <w:szCs w:val="24"/>
          <w:lang w:val="es-ES" w:eastAsia="es-ES"/>
        </w:rPr>
      </w:pPr>
    </w:p>
    <w:p w:rsidR="003527AA" w:rsidRPr="007C5634" w:rsidRDefault="000D79F9" w:rsidP="00C9552F">
      <w:pPr>
        <w:pStyle w:val="Ttulo2"/>
        <w:spacing w:after="0"/>
        <w:rPr>
          <w:rFonts w:ascii="Arial" w:hAnsi="Arial" w:cs="Arial"/>
          <w:sz w:val="24"/>
          <w:szCs w:val="24"/>
        </w:rPr>
      </w:pPr>
      <w:r w:rsidRPr="007C5634">
        <w:rPr>
          <w:rFonts w:ascii="Arial" w:hAnsi="Arial" w:cs="Arial"/>
          <w:sz w:val="24"/>
          <w:szCs w:val="24"/>
        </w:rPr>
        <w:t>Variables</w:t>
      </w:r>
    </w:p>
    <w:p w:rsidR="009272D7" w:rsidRPr="00516F2C" w:rsidRDefault="00516F2C" w:rsidP="00C9552F">
      <w:pPr>
        <w:pStyle w:val="Prrafodelista"/>
        <w:spacing w:before="120" w:after="0" w:line="240" w:lineRule="auto"/>
        <w:ind w:left="0" w:firstLine="567"/>
        <w:contextualSpacing w:val="0"/>
        <w:jc w:val="both"/>
        <w:rPr>
          <w:rFonts w:ascii="Arial" w:hAnsi="Arial" w:cs="Arial"/>
        </w:rPr>
      </w:pPr>
      <w:r w:rsidRPr="00516F2C">
        <w:rPr>
          <w:rFonts w:ascii="Arial" w:eastAsia="Times New Roman" w:hAnsi="Arial" w:cs="Arial"/>
          <w:lang w:val="es-ES" w:eastAsia="es-ES"/>
        </w:rPr>
        <w:t>L</w:t>
      </w:r>
      <w:r w:rsidR="000D79F9" w:rsidRPr="00516F2C">
        <w:rPr>
          <w:rFonts w:ascii="Arial" w:eastAsia="Times New Roman" w:hAnsi="Arial" w:cs="Arial"/>
          <w:lang w:val="es-ES" w:eastAsia="es-ES"/>
        </w:rPr>
        <w:t xml:space="preserve">a práctica habitual de las cooperativas agrarias de primar la maximización de los precios liquidados a sus socios por encima de la generación de beneficios, introduce particularidades en la interpretación de la información recogida en su cuenta de pérdidas y ganancias. Suele ser habitual que estas entidades utilicen esta estrategia de liquidación como forma de distribuir los excedentes cooperativos reales de forma encubierta, tratando así de obtener un beneficio contable mínimo (o incluso nulo) que evite una mayor presión fiscal o mayores exigencias en la dotación de sus fondos obligatorios. Por este motivo, todas las variables que utilicen información relativa a resultados contables deberían ser </w:t>
      </w:r>
      <w:r w:rsidR="000D79F9" w:rsidRPr="00516F2C">
        <w:rPr>
          <w:rFonts w:ascii="Arial" w:hAnsi="Arial" w:cs="Arial"/>
        </w:rPr>
        <w:t xml:space="preserve">modificadas calculando una ganancia neta </w:t>
      </w:r>
      <w:r w:rsidR="000D79F9" w:rsidRPr="00516F2C">
        <w:rPr>
          <w:rFonts w:ascii="Arial" w:hAnsi="Arial" w:cs="Arial"/>
          <w:i/>
        </w:rPr>
        <w:t>corregida</w:t>
      </w:r>
      <w:r w:rsidR="000D79F9" w:rsidRPr="00516F2C">
        <w:rPr>
          <w:rFonts w:ascii="Arial" w:hAnsi="Arial" w:cs="Arial"/>
        </w:rPr>
        <w:t xml:space="preserve">, que se elabore atendiendo a criterios de mercado y no de liquidación a los socios </w:t>
      </w:r>
      <w:r w:rsidR="000D79F9" w:rsidRPr="00516F2C">
        <w:rPr>
          <w:rFonts w:ascii="Arial" w:eastAsia="Times New Roman" w:hAnsi="Arial" w:cs="Arial"/>
          <w:lang w:val="es-ES" w:eastAsia="es-ES"/>
        </w:rPr>
        <w:t xml:space="preserve">(Gómez-Limón </w:t>
      </w:r>
      <w:r w:rsidR="000D79F9" w:rsidRPr="00516F2C">
        <w:rPr>
          <w:rFonts w:ascii="Arial" w:eastAsia="Times New Roman" w:hAnsi="Arial" w:cs="Arial"/>
          <w:i/>
          <w:lang w:val="es-ES" w:eastAsia="es-ES"/>
        </w:rPr>
        <w:t>et al.,</w:t>
      </w:r>
      <w:r w:rsidR="009272D7" w:rsidRPr="00516F2C">
        <w:rPr>
          <w:rFonts w:ascii="Arial" w:eastAsia="Times New Roman" w:hAnsi="Arial" w:cs="Arial"/>
          <w:lang w:val="es-ES" w:eastAsia="es-ES"/>
        </w:rPr>
        <w:t xml:space="preserve"> 2003)</w:t>
      </w:r>
      <w:r w:rsidR="007D5AD2" w:rsidRPr="00516F2C">
        <w:rPr>
          <w:rFonts w:ascii="Arial" w:hAnsi="Arial" w:cs="Arial"/>
        </w:rPr>
        <w:t xml:space="preserve">. </w:t>
      </w:r>
      <w:r w:rsidR="009272D7" w:rsidRPr="00516F2C">
        <w:rPr>
          <w:rFonts w:ascii="Arial" w:hAnsi="Arial" w:cs="Arial"/>
        </w:rPr>
        <w:t xml:space="preserve">No obstante en </w:t>
      </w:r>
      <w:r w:rsidR="009272D7" w:rsidRPr="00516F2C">
        <w:rPr>
          <w:rFonts w:ascii="Arial" w:hAnsi="Arial" w:cs="Arial"/>
        </w:rPr>
        <w:lastRenderedPageBreak/>
        <w:t>este caso s</w:t>
      </w:r>
      <w:r w:rsidR="000D79F9" w:rsidRPr="00516F2C">
        <w:rPr>
          <w:rFonts w:ascii="Arial" w:hAnsi="Arial" w:cs="Arial"/>
        </w:rPr>
        <w:t>e ha desestimado esta posibilidad por la dificultad que entraña realizar esta corrección a partir únicamente de la información contable de estas entidades</w:t>
      </w:r>
      <w:r w:rsidR="00FD6D09" w:rsidRPr="00516F2C">
        <w:rPr>
          <w:rStyle w:val="Refdenotaalpie"/>
          <w:rFonts w:ascii="Arial" w:hAnsi="Arial" w:cs="Arial"/>
        </w:rPr>
        <w:footnoteReference w:id="3"/>
      </w:r>
      <w:r w:rsidR="000D79F9" w:rsidRPr="00516F2C">
        <w:rPr>
          <w:rFonts w:ascii="Arial" w:hAnsi="Arial" w:cs="Arial"/>
        </w:rPr>
        <w:t xml:space="preserve"> y porque el diferencial de precios pagado por cada cooperativa es diferente para cada uno de los diversos productos de las entidades de la muestra, lo que podría dar lugar a resultados anómalos e irreales de esta variable. </w:t>
      </w:r>
    </w:p>
    <w:p w:rsidR="009272D7" w:rsidRPr="00516F2C"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516F2C">
        <w:rPr>
          <w:rFonts w:ascii="Arial" w:eastAsia="Times New Roman" w:hAnsi="Arial" w:cs="Arial"/>
          <w:lang w:val="es-ES" w:eastAsia="es-ES"/>
        </w:rPr>
        <w:t>Según la normativa contable sustantiva</w:t>
      </w:r>
      <w:r w:rsidR="00FD6D09" w:rsidRPr="00C108F0">
        <w:rPr>
          <w:rFonts w:eastAsia="Times New Roman"/>
          <w:vertAlign w:val="superscript"/>
          <w:lang w:val="es-ES" w:eastAsia="es-ES"/>
        </w:rPr>
        <w:footnoteReference w:id="4"/>
      </w:r>
      <w:r w:rsidRPr="00516F2C">
        <w:rPr>
          <w:rFonts w:ascii="Arial" w:eastAsia="Times New Roman" w:hAnsi="Arial" w:cs="Arial"/>
          <w:lang w:val="es-ES" w:eastAsia="es-ES"/>
        </w:rPr>
        <w:t xml:space="preserve"> dichas liquidaciones a los socios se valoran por su precio de adquisición, es decir, el importe pagado o pendiente de pago por la cooperativa y se recogen en la partida de Aprovisionamientos del resultado de explotación de la cuenta de pérdidas y ganancias, donde se creará un epígrafe específico con la denominación “Consumos de existencias de socios”. No obstante, dado que la información disponible en la base de datos es ciertamente limitada en este sentido y no contempla las adaptaciones formales de los estados financieros de las cooperativas, se ha tenido que recurrir a una corrección de la ganancia neta a través de toda la partida de </w:t>
      </w:r>
      <w:r w:rsidRPr="00C9552F">
        <w:rPr>
          <w:rFonts w:ascii="Arial" w:eastAsia="Times New Roman" w:hAnsi="Arial" w:cs="Arial"/>
          <w:i/>
          <w:lang w:val="es-ES" w:eastAsia="es-ES"/>
        </w:rPr>
        <w:t>Aprovisionamientos</w:t>
      </w:r>
      <w:r w:rsidRPr="00516F2C">
        <w:rPr>
          <w:rFonts w:ascii="Arial" w:eastAsia="Times New Roman" w:hAnsi="Arial" w:cs="Arial"/>
          <w:lang w:val="es-ES" w:eastAsia="es-ES"/>
        </w:rPr>
        <w:t>, asumiendo no obstante que la misma representa una combinación de coste de aprovisionamiento real y reparto de beneficios vía precios de liquidación.</w:t>
      </w:r>
      <w:r w:rsidR="00516F2C" w:rsidRPr="00516F2C">
        <w:rPr>
          <w:rFonts w:ascii="Arial" w:eastAsia="Times New Roman" w:hAnsi="Arial" w:cs="Arial"/>
          <w:lang w:val="es-ES" w:eastAsia="es-ES"/>
        </w:rPr>
        <w:t xml:space="preserve"> De esta forma las variables que aparecen con la nomenclatura “cooperativa” han sido ajustadas por el importe de la partida de </w:t>
      </w:r>
      <w:r w:rsidR="00516F2C" w:rsidRPr="00C9552F">
        <w:rPr>
          <w:rFonts w:ascii="Arial" w:eastAsia="Times New Roman" w:hAnsi="Arial" w:cs="Arial"/>
          <w:i/>
          <w:lang w:val="es-ES" w:eastAsia="es-ES"/>
        </w:rPr>
        <w:t>Aprovisionamientos</w:t>
      </w:r>
      <w:r w:rsidR="00516F2C" w:rsidRPr="00516F2C">
        <w:rPr>
          <w:rFonts w:ascii="Arial" w:eastAsia="Times New Roman" w:hAnsi="Arial" w:cs="Arial"/>
          <w:lang w:val="es-ES" w:eastAsia="es-ES"/>
        </w:rPr>
        <w:t>.</w:t>
      </w:r>
    </w:p>
    <w:p w:rsidR="007D5AD2" w:rsidRPr="007C5634" w:rsidRDefault="007D5AD2" w:rsidP="00C9552F">
      <w:pPr>
        <w:pStyle w:val="Prrafodelista"/>
        <w:spacing w:before="120" w:after="0" w:line="240" w:lineRule="auto"/>
        <w:ind w:left="0"/>
        <w:contextualSpacing w:val="0"/>
        <w:jc w:val="both"/>
        <w:rPr>
          <w:rFonts w:ascii="Arial" w:eastAsia="Times New Roman" w:hAnsi="Arial" w:cs="Arial"/>
          <w:sz w:val="24"/>
          <w:szCs w:val="24"/>
          <w:lang w:val="es-ES" w:eastAsia="es-ES"/>
        </w:rPr>
      </w:pPr>
    </w:p>
    <w:p w:rsidR="003527AA" w:rsidRPr="007C5634" w:rsidRDefault="000D79F9" w:rsidP="00C9552F">
      <w:pPr>
        <w:pStyle w:val="Ttulo1"/>
        <w:spacing w:before="120" w:after="0"/>
        <w:rPr>
          <w:rFonts w:ascii="Arial" w:hAnsi="Arial" w:cs="Arial"/>
          <w:szCs w:val="24"/>
        </w:rPr>
      </w:pPr>
      <w:r w:rsidRPr="007C5634">
        <w:rPr>
          <w:rFonts w:ascii="Arial" w:hAnsi="Arial" w:cs="Arial"/>
          <w:szCs w:val="24"/>
        </w:rPr>
        <w:t>Resultados</w:t>
      </w:r>
    </w:p>
    <w:p w:rsidR="00385956" w:rsidRDefault="00AB18E0"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Este epígrafe recoge </w:t>
      </w:r>
      <w:r w:rsidR="000D79F9" w:rsidRPr="0014069F">
        <w:rPr>
          <w:rFonts w:ascii="Arial" w:eastAsia="Times New Roman" w:hAnsi="Arial" w:cs="Arial"/>
          <w:lang w:val="es-ES" w:eastAsia="es-ES"/>
        </w:rPr>
        <w:t xml:space="preserve">los resultados del análisis factorial realizado sobre variables relacionadas con el “logro empresarial cooperativo”, con el fin de obtener uno o más factores que permitan cuantificar de forma aproximada el desempeño de una cooperativa en materia económica y que pueda suplir, en lo posible, a otros indicadores de resultado o eficiencia utilizados en sociedades capitalistas. </w:t>
      </w:r>
    </w:p>
    <w:p w:rsidR="00C9552F" w:rsidRPr="00516F2C" w:rsidRDefault="00C9552F" w:rsidP="00C9552F">
      <w:pPr>
        <w:pStyle w:val="Prrafodelista"/>
        <w:spacing w:before="120" w:after="0" w:line="240" w:lineRule="auto"/>
        <w:ind w:left="0" w:firstLine="567"/>
        <w:contextualSpacing w:val="0"/>
        <w:jc w:val="both"/>
        <w:rPr>
          <w:rFonts w:ascii="Arial" w:eastAsia="Times New Roman" w:hAnsi="Arial" w:cs="Arial"/>
          <w:lang w:val="es-ES" w:eastAsia="es-ES"/>
        </w:rPr>
      </w:pPr>
    </w:p>
    <w:p w:rsidR="003527AA" w:rsidRPr="007C5634" w:rsidRDefault="00385956" w:rsidP="00C9552F">
      <w:pPr>
        <w:pStyle w:val="Ttulo2"/>
        <w:spacing w:after="0"/>
        <w:rPr>
          <w:rFonts w:ascii="Arial" w:hAnsi="Arial" w:cs="Arial"/>
          <w:sz w:val="24"/>
          <w:szCs w:val="24"/>
        </w:rPr>
      </w:pPr>
      <w:r w:rsidRPr="007C5634">
        <w:rPr>
          <w:rFonts w:ascii="Arial" w:hAnsi="Arial" w:cs="Arial"/>
          <w:sz w:val="24"/>
          <w:szCs w:val="24"/>
        </w:rPr>
        <w:t>Análisis de componentes principales</w:t>
      </w:r>
      <w:r w:rsidR="004F404A" w:rsidRPr="007C5634">
        <w:rPr>
          <w:rFonts w:ascii="Arial" w:hAnsi="Arial" w:cs="Arial"/>
          <w:sz w:val="24"/>
          <w:szCs w:val="24"/>
        </w:rPr>
        <w:t xml:space="preserve"> (ACP)</w:t>
      </w:r>
    </w:p>
    <w:p w:rsidR="004F404A"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El ACP es una técnica de análisis multivariante cuyo objetivo es conseguir la simplificación de un conjunto de datos, generalmente cuantitativos, procedentes de un grupo de variables interrelacionadas. Como consecuencia de su aplicación resulta posible sintetizar la información procedente de un volumen importante de datos, aglutinándola en una o más nuevas variables incorreladas que a su vez pueden ser utilizadas en otras técnicas estadísticas, como en este caso la regresión lineal múltiple.</w:t>
      </w:r>
    </w:p>
    <w:p w:rsidR="00385956" w:rsidRPr="0014069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14069F">
        <w:rPr>
          <w:rFonts w:ascii="Arial" w:eastAsia="Times New Roman" w:hAnsi="Arial" w:cs="Arial"/>
          <w:lang w:val="es-ES" w:eastAsia="es-ES"/>
        </w:rPr>
        <w:t xml:space="preserve">Las variables seleccionadas para la aplicación del ACP y que pretenden ser representativas del logro empresarial cooperativo se recogen en el Cuadro </w:t>
      </w:r>
      <w:r w:rsidR="0014069F" w:rsidRPr="0014069F">
        <w:rPr>
          <w:rFonts w:ascii="Arial" w:eastAsia="Times New Roman" w:hAnsi="Arial" w:cs="Arial"/>
          <w:lang w:val="es-ES" w:eastAsia="es-ES"/>
        </w:rPr>
        <w:t>2</w:t>
      </w:r>
      <w:r w:rsidRPr="0014069F">
        <w:rPr>
          <w:rFonts w:ascii="Arial" w:eastAsia="Times New Roman" w:hAnsi="Arial" w:cs="Arial"/>
          <w:lang w:val="es-ES" w:eastAsia="es-ES"/>
        </w:rPr>
        <w:t xml:space="preserve">. </w:t>
      </w:r>
    </w:p>
    <w:p w:rsidR="0014069F" w:rsidRDefault="0014069F" w:rsidP="00C9552F">
      <w:pPr>
        <w:pStyle w:val="Prrafodelista"/>
        <w:spacing w:before="120" w:after="0" w:line="240" w:lineRule="auto"/>
        <w:ind w:left="0" w:firstLine="567"/>
        <w:contextualSpacing w:val="0"/>
        <w:jc w:val="both"/>
        <w:rPr>
          <w:rFonts w:ascii="Arial" w:eastAsia="Times New Roman" w:hAnsi="Arial" w:cs="Arial"/>
          <w:sz w:val="24"/>
          <w:szCs w:val="24"/>
          <w:lang w:val="es-ES" w:eastAsia="es-ES"/>
        </w:rPr>
      </w:pPr>
    </w:p>
    <w:p w:rsidR="00C9552F" w:rsidRDefault="00C9552F" w:rsidP="00C9552F">
      <w:pPr>
        <w:pStyle w:val="Prrafodelista"/>
        <w:spacing w:before="120" w:after="0" w:line="240" w:lineRule="auto"/>
        <w:ind w:left="0" w:firstLine="567"/>
        <w:contextualSpacing w:val="0"/>
        <w:jc w:val="both"/>
        <w:rPr>
          <w:rFonts w:ascii="Arial" w:eastAsia="Times New Roman" w:hAnsi="Arial" w:cs="Arial"/>
          <w:sz w:val="24"/>
          <w:szCs w:val="24"/>
          <w:lang w:val="es-ES" w:eastAsia="es-ES"/>
        </w:rPr>
      </w:pPr>
    </w:p>
    <w:p w:rsidR="00C9552F" w:rsidRDefault="00C9552F" w:rsidP="00C9552F">
      <w:pPr>
        <w:pStyle w:val="Prrafodelista"/>
        <w:spacing w:before="120" w:after="0" w:line="240" w:lineRule="auto"/>
        <w:ind w:left="0" w:firstLine="567"/>
        <w:contextualSpacing w:val="0"/>
        <w:jc w:val="both"/>
        <w:rPr>
          <w:rFonts w:ascii="Arial" w:eastAsia="Times New Roman" w:hAnsi="Arial" w:cs="Arial"/>
          <w:sz w:val="24"/>
          <w:szCs w:val="24"/>
          <w:lang w:val="es-ES" w:eastAsia="es-ES"/>
        </w:rPr>
      </w:pPr>
    </w:p>
    <w:p w:rsidR="00C9552F" w:rsidRDefault="00C9552F" w:rsidP="00C9552F">
      <w:pPr>
        <w:pStyle w:val="Prrafodelista"/>
        <w:spacing w:before="120" w:after="0" w:line="240" w:lineRule="auto"/>
        <w:ind w:left="0" w:firstLine="567"/>
        <w:contextualSpacing w:val="0"/>
        <w:jc w:val="both"/>
        <w:rPr>
          <w:rFonts w:ascii="Arial" w:eastAsia="Times New Roman" w:hAnsi="Arial" w:cs="Arial"/>
          <w:sz w:val="24"/>
          <w:szCs w:val="24"/>
          <w:lang w:val="es-ES" w:eastAsia="es-ES"/>
        </w:rPr>
      </w:pPr>
    </w:p>
    <w:p w:rsidR="0014069F" w:rsidRPr="007C5634" w:rsidRDefault="0014069F" w:rsidP="007C5634">
      <w:pPr>
        <w:pStyle w:val="Prrafodelista"/>
        <w:spacing w:after="0" w:line="240" w:lineRule="auto"/>
        <w:ind w:left="0" w:firstLine="567"/>
        <w:contextualSpacing w:val="0"/>
        <w:jc w:val="both"/>
        <w:rPr>
          <w:rFonts w:ascii="Arial" w:eastAsia="Times New Roman" w:hAnsi="Arial" w:cs="Arial"/>
          <w:sz w:val="24"/>
          <w:szCs w:val="24"/>
          <w:lang w:val="es-ES" w:eastAsia="es-ES"/>
        </w:rPr>
      </w:pPr>
    </w:p>
    <w:p w:rsidR="001E337D" w:rsidRPr="007C5634" w:rsidRDefault="000D79F9" w:rsidP="007C5634">
      <w:pPr>
        <w:pStyle w:val="Prrafodelista"/>
        <w:spacing w:after="0" w:line="240" w:lineRule="auto"/>
        <w:ind w:left="0"/>
        <w:contextualSpacing w:val="0"/>
        <w:jc w:val="center"/>
        <w:rPr>
          <w:rFonts w:ascii="Arial" w:eastAsia="Times New Roman" w:hAnsi="Arial" w:cs="Arial"/>
          <w:sz w:val="24"/>
          <w:szCs w:val="24"/>
          <w:lang w:val="es-ES" w:eastAsia="es-ES"/>
        </w:rPr>
      </w:pPr>
      <w:r w:rsidRPr="007C5634">
        <w:rPr>
          <w:rFonts w:ascii="Arial" w:eastAsia="Times New Roman" w:hAnsi="Arial" w:cs="Arial"/>
          <w:sz w:val="24"/>
          <w:szCs w:val="24"/>
          <w:lang w:val="es-ES" w:eastAsia="es-ES"/>
        </w:rPr>
        <w:t xml:space="preserve">CUADRO </w:t>
      </w:r>
      <w:r w:rsidR="0014069F">
        <w:rPr>
          <w:rFonts w:ascii="Arial" w:eastAsia="Times New Roman" w:hAnsi="Arial" w:cs="Arial"/>
          <w:sz w:val="24"/>
          <w:szCs w:val="24"/>
          <w:lang w:val="es-ES" w:eastAsia="es-ES"/>
        </w:rPr>
        <w:t>2</w:t>
      </w:r>
    </w:p>
    <w:p w:rsidR="004F404A" w:rsidRPr="007C5634" w:rsidRDefault="000D79F9" w:rsidP="007C5634">
      <w:pPr>
        <w:pStyle w:val="Ttulodetablasyfiguras"/>
        <w:spacing w:before="120"/>
        <w:rPr>
          <w:rFonts w:ascii="Arial" w:hAnsi="Arial" w:cs="Arial"/>
          <w:sz w:val="24"/>
        </w:rPr>
      </w:pPr>
      <w:r w:rsidRPr="007C5634">
        <w:rPr>
          <w:rFonts w:ascii="Arial" w:hAnsi="Arial" w:cs="Arial"/>
          <w:sz w:val="24"/>
        </w:rPr>
        <w:t>Variables incluidas en el ACP</w:t>
      </w:r>
    </w:p>
    <w:tbl>
      <w:tblPr>
        <w:tblStyle w:val="Tablaconcuadrcula"/>
        <w:tblW w:w="9883" w:type="dxa"/>
        <w:jc w:val="center"/>
        <w:tblInd w:w="-597" w:type="dxa"/>
        <w:tblLook w:val="04A0"/>
      </w:tblPr>
      <w:tblGrid>
        <w:gridCol w:w="3719"/>
        <w:gridCol w:w="4674"/>
        <w:gridCol w:w="1490"/>
      </w:tblGrid>
      <w:tr w:rsidR="00E14B1F" w:rsidRPr="007C5634" w:rsidTr="00E14B1F">
        <w:trPr>
          <w:jc w:val="center"/>
        </w:trPr>
        <w:tc>
          <w:tcPr>
            <w:tcW w:w="3740" w:type="dxa"/>
          </w:tcPr>
          <w:p w:rsidR="00E14B1F" w:rsidRPr="007C5634" w:rsidRDefault="00E14B1F" w:rsidP="007C5634">
            <w:pPr>
              <w:jc w:val="center"/>
              <w:rPr>
                <w:rFonts w:ascii="Arial" w:hAnsi="Arial" w:cs="Arial"/>
                <w:b/>
                <w:sz w:val="22"/>
                <w:szCs w:val="22"/>
              </w:rPr>
            </w:pPr>
            <w:r w:rsidRPr="007C5634">
              <w:rPr>
                <w:rFonts w:ascii="Arial" w:hAnsi="Arial" w:cs="Arial"/>
                <w:b/>
                <w:sz w:val="22"/>
                <w:szCs w:val="22"/>
              </w:rPr>
              <w:t>Variable</w:t>
            </w:r>
          </w:p>
        </w:tc>
        <w:tc>
          <w:tcPr>
            <w:tcW w:w="4648" w:type="dxa"/>
          </w:tcPr>
          <w:p w:rsidR="00E14B1F" w:rsidRPr="007C5634" w:rsidRDefault="000D79F9" w:rsidP="007C5634">
            <w:pPr>
              <w:jc w:val="center"/>
              <w:rPr>
                <w:rFonts w:ascii="Arial" w:hAnsi="Arial" w:cs="Arial"/>
                <w:b/>
                <w:sz w:val="22"/>
                <w:szCs w:val="22"/>
              </w:rPr>
            </w:pPr>
            <w:r w:rsidRPr="007C5634">
              <w:rPr>
                <w:rFonts w:ascii="Arial" w:hAnsi="Arial" w:cs="Arial"/>
                <w:b/>
                <w:sz w:val="22"/>
                <w:szCs w:val="22"/>
              </w:rPr>
              <w:t>Cálculo</w:t>
            </w:r>
          </w:p>
        </w:tc>
        <w:tc>
          <w:tcPr>
            <w:tcW w:w="1495" w:type="dxa"/>
          </w:tcPr>
          <w:p w:rsidR="00E14B1F" w:rsidRPr="007C5634" w:rsidRDefault="000D79F9" w:rsidP="007C5634">
            <w:pPr>
              <w:jc w:val="center"/>
              <w:rPr>
                <w:rFonts w:ascii="Arial" w:hAnsi="Arial" w:cs="Arial"/>
                <w:b/>
                <w:sz w:val="22"/>
                <w:szCs w:val="22"/>
              </w:rPr>
            </w:pPr>
            <w:r w:rsidRPr="007C5634">
              <w:rPr>
                <w:rFonts w:ascii="Arial" w:hAnsi="Arial" w:cs="Arial"/>
                <w:b/>
                <w:sz w:val="22"/>
                <w:szCs w:val="22"/>
              </w:rPr>
              <w:t>Código</w:t>
            </w:r>
          </w:p>
        </w:tc>
      </w:tr>
      <w:tr w:rsidR="00E14B1F" w:rsidRPr="007C5634" w:rsidTr="00E14B1F">
        <w:trPr>
          <w:jc w:val="center"/>
        </w:trPr>
        <w:tc>
          <w:tcPr>
            <w:tcW w:w="3740"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lastRenderedPageBreak/>
              <w:t xml:space="preserve">EBITDA </w:t>
            </w:r>
            <w:r w:rsidRPr="007C5634">
              <w:rPr>
                <w:rFonts w:ascii="Arial" w:eastAsia="Times New Roman" w:hAnsi="Arial" w:cs="Arial"/>
                <w:i/>
                <w:lang w:val="es-ES" w:eastAsia="es-ES"/>
              </w:rPr>
              <w:t xml:space="preserve">cooperativo </w:t>
            </w:r>
            <w:r w:rsidRPr="007C5634">
              <w:rPr>
                <w:rFonts w:ascii="Arial" w:eastAsia="Times New Roman" w:hAnsi="Arial" w:cs="Arial"/>
                <w:lang w:val="es-ES" w:eastAsia="es-ES"/>
              </w:rPr>
              <w:t>sobre ventas</w:t>
            </w:r>
          </w:p>
        </w:tc>
        <w:tc>
          <w:tcPr>
            <w:tcW w:w="4648"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(EBITDA+Aprovisionamientos)/Ventas</w:t>
            </w:r>
          </w:p>
        </w:tc>
        <w:tc>
          <w:tcPr>
            <w:tcW w:w="1495"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EBITDAc</w:t>
            </w:r>
          </w:p>
        </w:tc>
      </w:tr>
      <w:tr w:rsidR="00E14B1F" w:rsidRPr="007C5634" w:rsidTr="00E14B1F">
        <w:trPr>
          <w:jc w:val="center"/>
        </w:trPr>
        <w:tc>
          <w:tcPr>
            <w:tcW w:w="3740"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 xml:space="preserve">Rentabilidad económica </w:t>
            </w:r>
            <w:r w:rsidRPr="007C5634">
              <w:rPr>
                <w:rFonts w:ascii="Arial" w:eastAsia="Times New Roman" w:hAnsi="Arial" w:cs="Arial"/>
                <w:i/>
                <w:lang w:val="es-ES" w:eastAsia="es-ES"/>
              </w:rPr>
              <w:t>cooperativa</w:t>
            </w:r>
          </w:p>
        </w:tc>
        <w:tc>
          <w:tcPr>
            <w:tcW w:w="4648"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(Rdo.Explotación+Aprovisionamientos)/Activo Total</w:t>
            </w:r>
          </w:p>
        </w:tc>
        <w:tc>
          <w:tcPr>
            <w:tcW w:w="1495"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ROAc</w:t>
            </w:r>
          </w:p>
        </w:tc>
      </w:tr>
      <w:tr w:rsidR="00E14B1F" w:rsidRPr="007C5634" w:rsidTr="00E14B1F">
        <w:trPr>
          <w:jc w:val="center"/>
        </w:trPr>
        <w:tc>
          <w:tcPr>
            <w:tcW w:w="3740"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Ratio aprovisionamientos sobre ventas</w:t>
            </w:r>
          </w:p>
        </w:tc>
        <w:tc>
          <w:tcPr>
            <w:tcW w:w="4648"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(Aprovisionamientos)/Ventas</w:t>
            </w:r>
          </w:p>
        </w:tc>
        <w:tc>
          <w:tcPr>
            <w:tcW w:w="1495"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Aprov</w:t>
            </w:r>
          </w:p>
        </w:tc>
      </w:tr>
      <w:tr w:rsidR="00E14B1F" w:rsidRPr="007C5634" w:rsidTr="00E14B1F">
        <w:trPr>
          <w:jc w:val="center"/>
        </w:trPr>
        <w:tc>
          <w:tcPr>
            <w:tcW w:w="3740"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 xml:space="preserve">Ratio de rentabilidad </w:t>
            </w:r>
            <w:r w:rsidRPr="007C5634">
              <w:rPr>
                <w:rFonts w:ascii="Arial" w:eastAsia="Times New Roman" w:hAnsi="Arial" w:cs="Arial"/>
                <w:i/>
                <w:lang w:val="es-ES" w:eastAsia="es-ES"/>
              </w:rPr>
              <w:t>cooperativa</w:t>
            </w:r>
            <w:r w:rsidRPr="007C5634">
              <w:rPr>
                <w:rFonts w:ascii="Arial" w:eastAsia="Times New Roman" w:hAnsi="Arial" w:cs="Arial"/>
                <w:lang w:val="es-ES" w:eastAsia="es-ES"/>
              </w:rPr>
              <w:t xml:space="preserve"> sobre activos </w:t>
            </w:r>
          </w:p>
        </w:tc>
        <w:tc>
          <w:tcPr>
            <w:tcW w:w="4648"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(R. Ejercicio+Aprovisionamientos)</w:t>
            </w:r>
            <w:r w:rsidR="00C108F0">
              <w:rPr>
                <w:rFonts w:ascii="Arial" w:eastAsia="Times New Roman" w:hAnsi="Arial" w:cs="Arial"/>
                <w:lang w:val="es-ES" w:eastAsia="es-ES"/>
              </w:rPr>
              <w:t xml:space="preserve"> </w:t>
            </w:r>
            <w:r w:rsidRPr="007C5634">
              <w:rPr>
                <w:rFonts w:ascii="Arial" w:eastAsia="Times New Roman" w:hAnsi="Arial" w:cs="Arial"/>
                <w:lang w:val="es-ES" w:eastAsia="es-ES"/>
              </w:rPr>
              <w:t>/ Activo Total</w:t>
            </w:r>
          </w:p>
        </w:tc>
        <w:tc>
          <w:tcPr>
            <w:tcW w:w="1495"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Rentabc</w:t>
            </w:r>
          </w:p>
        </w:tc>
      </w:tr>
      <w:tr w:rsidR="00E14B1F" w:rsidRPr="007C5634" w:rsidTr="00E14B1F">
        <w:trPr>
          <w:jc w:val="center"/>
        </w:trPr>
        <w:tc>
          <w:tcPr>
            <w:tcW w:w="3740"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 xml:space="preserve">Ratio de valor añadido bruto </w:t>
            </w:r>
            <w:r w:rsidRPr="007C5634">
              <w:rPr>
                <w:rFonts w:ascii="Arial" w:eastAsia="Times New Roman" w:hAnsi="Arial" w:cs="Arial"/>
                <w:i/>
                <w:lang w:val="es-ES" w:eastAsia="es-ES"/>
              </w:rPr>
              <w:t>cooperativo</w:t>
            </w:r>
            <w:r w:rsidRPr="007C5634">
              <w:rPr>
                <w:rFonts w:ascii="Arial" w:eastAsia="Times New Roman" w:hAnsi="Arial" w:cs="Arial"/>
                <w:lang w:val="es-ES" w:eastAsia="es-ES"/>
              </w:rPr>
              <w:t xml:space="preserve"> sobre ventas</w:t>
            </w:r>
          </w:p>
        </w:tc>
        <w:tc>
          <w:tcPr>
            <w:tcW w:w="4648"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(VAB+Aprovisionamientos)/Ventas</w:t>
            </w:r>
          </w:p>
        </w:tc>
        <w:tc>
          <w:tcPr>
            <w:tcW w:w="1495" w:type="dxa"/>
          </w:tcPr>
          <w:p w:rsidR="00E14B1F" w:rsidRPr="007C5634"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7C5634">
              <w:rPr>
                <w:rFonts w:ascii="Arial" w:eastAsia="Times New Roman" w:hAnsi="Arial" w:cs="Arial"/>
                <w:lang w:val="es-ES" w:eastAsia="es-ES"/>
              </w:rPr>
              <w:t>VABc</w:t>
            </w:r>
          </w:p>
        </w:tc>
      </w:tr>
    </w:tbl>
    <w:p w:rsidR="00EA5E3F" w:rsidRPr="007C5634" w:rsidRDefault="000D79F9"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r w:rsidRPr="007C5634">
        <w:rPr>
          <w:rFonts w:ascii="Arial" w:eastAsia="Times New Roman" w:hAnsi="Arial" w:cs="Arial"/>
          <w:sz w:val="18"/>
          <w:szCs w:val="18"/>
          <w:lang w:val="es-ES" w:eastAsia="es-ES"/>
        </w:rPr>
        <w:t>Fuente: Elaboración propia.</w:t>
      </w:r>
    </w:p>
    <w:p w:rsidR="00EA5E3F" w:rsidRPr="007C5634" w:rsidRDefault="00EA5E3F" w:rsidP="007C5634">
      <w:pPr>
        <w:pStyle w:val="Prrafodelista"/>
        <w:spacing w:before="120" w:after="120" w:line="240" w:lineRule="auto"/>
        <w:ind w:left="0"/>
        <w:contextualSpacing w:val="0"/>
        <w:jc w:val="both"/>
        <w:rPr>
          <w:rFonts w:ascii="Arial" w:eastAsia="Times New Roman" w:hAnsi="Arial" w:cs="Arial"/>
          <w:szCs w:val="24"/>
          <w:lang w:val="es-ES" w:eastAsia="es-ES"/>
        </w:rPr>
      </w:pPr>
    </w:p>
    <w:p w:rsidR="00353B43" w:rsidRPr="00516F2C"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353B43">
        <w:rPr>
          <w:rFonts w:ascii="Arial" w:eastAsia="Times New Roman" w:hAnsi="Arial" w:cs="Arial"/>
          <w:lang w:val="es-ES" w:eastAsia="es-ES"/>
        </w:rPr>
        <w:t xml:space="preserve">Para el análisis se ha utilizado el paquete estadístico SPSS versión 16.0, trabajando sobre la matriz de correlaciones para comprobar que, tal como se esperaba, las variables están muy correlacionadas entre sí. En este sentido el test de Bartlett comprueba si el determinante de la matriz de correlaciones es distinto de uno, es decir, si la matriz de correlaciones es distinta de la matriz identidad. Así mismo la adecuación muestral de Kaiser-Meyer-Olkin (KMO) contrasta si las correlaciones parciales entre las variables son pequeñas. En el Cuadro </w:t>
      </w:r>
      <w:r w:rsidR="0014069F" w:rsidRPr="00353B43">
        <w:rPr>
          <w:rFonts w:ascii="Arial" w:eastAsia="Times New Roman" w:hAnsi="Arial" w:cs="Arial"/>
          <w:lang w:val="es-ES" w:eastAsia="es-ES"/>
        </w:rPr>
        <w:t>3</w:t>
      </w:r>
      <w:r w:rsidRPr="00353B43">
        <w:rPr>
          <w:rFonts w:ascii="Arial" w:eastAsia="Times New Roman" w:hAnsi="Arial" w:cs="Arial"/>
          <w:lang w:val="es-ES" w:eastAsia="es-ES"/>
        </w:rPr>
        <w:t xml:space="preserve"> se pueden observar los valores obtenidos en ambos tests estadísticos, que evidencian que la técnica estadística del ACP es adecuada en este caso. </w:t>
      </w:r>
    </w:p>
    <w:p w:rsidR="00353B43" w:rsidRDefault="00353B43" w:rsidP="007C5634">
      <w:pPr>
        <w:pStyle w:val="Prrafodelista"/>
        <w:spacing w:after="0" w:line="240" w:lineRule="auto"/>
        <w:ind w:left="0" w:firstLine="567"/>
        <w:contextualSpacing w:val="0"/>
        <w:jc w:val="both"/>
        <w:rPr>
          <w:rFonts w:ascii="Arial" w:eastAsia="Times New Roman" w:hAnsi="Arial" w:cs="Arial"/>
          <w:szCs w:val="24"/>
          <w:lang w:val="es-ES" w:eastAsia="es-ES"/>
        </w:rPr>
      </w:pPr>
    </w:p>
    <w:p w:rsidR="00353B43" w:rsidRPr="007C5634" w:rsidRDefault="00353B43" w:rsidP="007C5634">
      <w:pPr>
        <w:pStyle w:val="Prrafodelista"/>
        <w:spacing w:after="0" w:line="240" w:lineRule="auto"/>
        <w:ind w:left="0" w:firstLine="567"/>
        <w:contextualSpacing w:val="0"/>
        <w:jc w:val="both"/>
        <w:rPr>
          <w:rFonts w:ascii="Arial" w:eastAsia="Times New Roman" w:hAnsi="Arial" w:cs="Arial"/>
          <w:szCs w:val="24"/>
          <w:lang w:val="es-ES" w:eastAsia="es-ES"/>
        </w:rPr>
      </w:pPr>
    </w:p>
    <w:p w:rsidR="007F3A13" w:rsidRPr="007C5634" w:rsidRDefault="000D79F9" w:rsidP="007C5634">
      <w:pPr>
        <w:pStyle w:val="Numeracindetablasyfiguras"/>
        <w:rPr>
          <w:rFonts w:ascii="Arial" w:hAnsi="Arial" w:cs="Arial"/>
          <w:sz w:val="24"/>
        </w:rPr>
      </w:pPr>
      <w:r w:rsidRPr="007C5634">
        <w:rPr>
          <w:rFonts w:ascii="Arial" w:hAnsi="Arial" w:cs="Arial"/>
          <w:sz w:val="24"/>
        </w:rPr>
        <w:t xml:space="preserve">CUADRO </w:t>
      </w:r>
      <w:r w:rsidR="0014069F">
        <w:rPr>
          <w:rFonts w:ascii="Arial" w:hAnsi="Arial" w:cs="Arial"/>
          <w:sz w:val="24"/>
        </w:rPr>
        <w:t>3</w:t>
      </w:r>
    </w:p>
    <w:tbl>
      <w:tblPr>
        <w:tblW w:w="587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75"/>
      </w:tblGrid>
      <w:tr w:rsidR="007F3A13" w:rsidRPr="007C5634" w:rsidTr="007F3A13">
        <w:trPr>
          <w:cantSplit/>
          <w:tblHeader/>
          <w:jc w:val="center"/>
        </w:trPr>
        <w:tc>
          <w:tcPr>
            <w:tcW w:w="5876"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center"/>
              <w:rPr>
                <w:rFonts w:ascii="Arial" w:hAnsi="Arial" w:cs="Arial"/>
                <w:b/>
              </w:rPr>
            </w:pPr>
            <w:r w:rsidRPr="007C5634">
              <w:rPr>
                <w:rFonts w:ascii="Arial" w:hAnsi="Arial" w:cs="Arial"/>
                <w:b/>
              </w:rPr>
              <w:t>KMO y prueba de Bartlett</w:t>
            </w:r>
          </w:p>
        </w:tc>
      </w:tr>
      <w:tr w:rsidR="007F3A13" w:rsidRPr="007C5634" w:rsidTr="007F3A13">
        <w:trPr>
          <w:cantSplit/>
          <w:tblHeader/>
          <w:jc w:val="center"/>
        </w:trPr>
        <w:tc>
          <w:tcPr>
            <w:tcW w:w="480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Medida de adecuación muestral de Kaiser-Meyer-Olkin.</w:t>
            </w:r>
          </w:p>
        </w:tc>
        <w:tc>
          <w:tcPr>
            <w:tcW w:w="107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,749</w:t>
            </w:r>
          </w:p>
        </w:tc>
      </w:tr>
      <w:tr w:rsidR="007F3A13" w:rsidRPr="007C5634" w:rsidTr="007F3A13">
        <w:trPr>
          <w:cantSplit/>
          <w:tblHeader/>
          <w:jc w:val="center"/>
        </w:trPr>
        <w:tc>
          <w:tcPr>
            <w:tcW w:w="2401"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Prueba de esfericidad de Bartlett</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Chi-cuadrado aproximado</w:t>
            </w:r>
          </w:p>
        </w:tc>
        <w:tc>
          <w:tcPr>
            <w:tcW w:w="10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3.202,110</w:t>
            </w:r>
          </w:p>
        </w:tc>
      </w:tr>
      <w:tr w:rsidR="007F3A13" w:rsidRPr="007C5634" w:rsidTr="007F3A13">
        <w:trPr>
          <w:cantSplit/>
          <w:tblHeader/>
          <w:jc w:val="center"/>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gl</w:t>
            </w:r>
          </w:p>
        </w:tc>
        <w:tc>
          <w:tcPr>
            <w:tcW w:w="10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w:t>
            </w:r>
          </w:p>
        </w:tc>
      </w:tr>
      <w:tr w:rsidR="007F3A13" w:rsidRPr="007C5634" w:rsidTr="007F3A13">
        <w:trPr>
          <w:cantSplit/>
          <w:jc w:val="center"/>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Sig.</w:t>
            </w:r>
          </w:p>
        </w:tc>
        <w:tc>
          <w:tcPr>
            <w:tcW w:w="107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,000</w:t>
            </w:r>
          </w:p>
        </w:tc>
      </w:tr>
    </w:tbl>
    <w:p w:rsidR="00EA5E3F" w:rsidRPr="007C5634" w:rsidRDefault="000D79F9"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r w:rsidRPr="007C5634">
        <w:rPr>
          <w:rFonts w:ascii="Arial" w:eastAsia="Times New Roman" w:hAnsi="Arial" w:cs="Arial"/>
          <w:sz w:val="18"/>
          <w:szCs w:val="18"/>
          <w:lang w:val="es-ES" w:eastAsia="es-ES"/>
        </w:rPr>
        <w:tab/>
      </w:r>
      <w:r w:rsidRPr="007C5634">
        <w:rPr>
          <w:rFonts w:ascii="Arial" w:eastAsia="Times New Roman" w:hAnsi="Arial" w:cs="Arial"/>
          <w:sz w:val="18"/>
          <w:szCs w:val="18"/>
          <w:lang w:val="es-ES" w:eastAsia="es-ES"/>
        </w:rPr>
        <w:tab/>
        <w:t>Fuente: Elaboración propia.</w:t>
      </w:r>
    </w:p>
    <w:p w:rsidR="007F3A13" w:rsidRPr="007C5634" w:rsidRDefault="007F3A13" w:rsidP="007C5634">
      <w:pPr>
        <w:pStyle w:val="Prrafodelista"/>
        <w:spacing w:before="120" w:after="120" w:line="240" w:lineRule="auto"/>
        <w:ind w:left="0"/>
        <w:contextualSpacing w:val="0"/>
        <w:jc w:val="both"/>
        <w:rPr>
          <w:rFonts w:ascii="Arial" w:eastAsia="Times New Roman" w:hAnsi="Arial" w:cs="Arial"/>
          <w:szCs w:val="24"/>
          <w:lang w:val="es-ES" w:eastAsia="es-ES"/>
        </w:rPr>
      </w:pPr>
    </w:p>
    <w:p w:rsidR="00385956" w:rsidRPr="00C9552F" w:rsidRDefault="000D79F9" w:rsidP="007C5634">
      <w:pPr>
        <w:pStyle w:val="Prrafodelista"/>
        <w:spacing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 xml:space="preserve">Siguiendo el criterio de Kaiser, se retienen aquellos componentes cuyo autovalor asociado sea superior a 1, en este caso tan sólo uno, que explica el 75.18% de la varianza total (Cuadro </w:t>
      </w:r>
      <w:r w:rsidR="0014069F" w:rsidRPr="00C9552F">
        <w:rPr>
          <w:rFonts w:ascii="Arial" w:eastAsia="Times New Roman" w:hAnsi="Arial" w:cs="Arial"/>
          <w:lang w:val="es-ES" w:eastAsia="es-ES"/>
        </w:rPr>
        <w:t>4</w:t>
      </w:r>
      <w:r w:rsidRPr="00C9552F">
        <w:rPr>
          <w:rFonts w:ascii="Arial" w:eastAsia="Times New Roman" w:hAnsi="Arial" w:cs="Arial"/>
          <w:lang w:val="es-ES" w:eastAsia="es-ES"/>
        </w:rPr>
        <w:t>).</w:t>
      </w:r>
    </w:p>
    <w:p w:rsidR="00AB18E0" w:rsidRDefault="00AB18E0" w:rsidP="007C5634">
      <w:pPr>
        <w:pStyle w:val="Prrafodelista"/>
        <w:spacing w:after="0" w:line="240" w:lineRule="auto"/>
        <w:ind w:left="0" w:firstLine="567"/>
        <w:contextualSpacing w:val="0"/>
        <w:jc w:val="both"/>
        <w:rPr>
          <w:rFonts w:ascii="Arial" w:eastAsia="Times New Roman" w:hAnsi="Arial" w:cs="Arial"/>
          <w:sz w:val="24"/>
          <w:szCs w:val="24"/>
          <w:lang w:val="es-ES" w:eastAsia="es-ES"/>
        </w:rPr>
      </w:pPr>
    </w:p>
    <w:p w:rsidR="00C9552F" w:rsidRDefault="00C9552F">
      <w:pPr>
        <w:rPr>
          <w:rFonts w:ascii="Arial" w:hAnsi="Arial" w:cs="Arial"/>
        </w:rPr>
      </w:pPr>
      <w:r>
        <w:rPr>
          <w:rFonts w:ascii="Arial" w:hAnsi="Arial" w:cs="Arial"/>
        </w:rPr>
        <w:br w:type="page"/>
      </w:r>
    </w:p>
    <w:p w:rsidR="00AB18E0" w:rsidRPr="007C5634" w:rsidRDefault="00AB18E0" w:rsidP="007C5634">
      <w:pPr>
        <w:pStyle w:val="Prrafodelista"/>
        <w:spacing w:after="0" w:line="240" w:lineRule="auto"/>
        <w:ind w:left="0" w:firstLine="567"/>
        <w:contextualSpacing w:val="0"/>
        <w:jc w:val="both"/>
        <w:rPr>
          <w:rFonts w:ascii="Arial" w:eastAsia="Times New Roman" w:hAnsi="Arial" w:cs="Arial"/>
          <w:sz w:val="24"/>
          <w:szCs w:val="24"/>
          <w:lang w:val="es-ES" w:eastAsia="es-ES"/>
        </w:rPr>
      </w:pPr>
    </w:p>
    <w:p w:rsidR="007F3A13" w:rsidRPr="007C5634" w:rsidRDefault="000D79F9" w:rsidP="007C5634">
      <w:pPr>
        <w:pStyle w:val="Numeracindetablasyfiguras"/>
        <w:rPr>
          <w:rFonts w:ascii="Arial" w:hAnsi="Arial" w:cs="Arial"/>
          <w:sz w:val="24"/>
        </w:rPr>
      </w:pPr>
      <w:r w:rsidRPr="007C5634">
        <w:rPr>
          <w:rFonts w:ascii="Arial" w:hAnsi="Arial" w:cs="Arial"/>
          <w:sz w:val="24"/>
        </w:rPr>
        <w:t xml:space="preserve">CUADRO </w:t>
      </w:r>
      <w:r w:rsidR="0014069F">
        <w:rPr>
          <w:rFonts w:ascii="Arial" w:hAnsi="Arial" w:cs="Arial"/>
          <w:sz w:val="24"/>
        </w:rPr>
        <w:t>4</w:t>
      </w:r>
    </w:p>
    <w:tbl>
      <w:tblPr>
        <w:tblW w:w="90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7"/>
        <w:gridCol w:w="1057"/>
        <w:gridCol w:w="1457"/>
        <w:gridCol w:w="1445"/>
        <w:gridCol w:w="1458"/>
        <w:gridCol w:w="1458"/>
        <w:gridCol w:w="1458"/>
      </w:tblGrid>
      <w:tr w:rsidR="007F3A13" w:rsidRPr="007C5634" w:rsidTr="00103358">
        <w:trPr>
          <w:cantSplit/>
          <w:tblHeader/>
        </w:trPr>
        <w:tc>
          <w:tcPr>
            <w:tcW w:w="9056" w:type="dxa"/>
            <w:gridSpan w:val="7"/>
            <w:tcBorders>
              <w:top w:val="nil"/>
              <w:left w:val="nil"/>
              <w:bottom w:val="nil"/>
              <w:right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center"/>
              <w:rPr>
                <w:rFonts w:ascii="Arial" w:hAnsi="Arial" w:cs="Arial"/>
                <w:b/>
              </w:rPr>
            </w:pPr>
            <w:r w:rsidRPr="007C5634">
              <w:rPr>
                <w:rFonts w:ascii="Arial" w:hAnsi="Arial" w:cs="Arial"/>
                <w:b/>
              </w:rPr>
              <w:t>Varianza total explicada</w:t>
            </w:r>
          </w:p>
        </w:tc>
      </w:tr>
      <w:tr w:rsidR="007F3A13" w:rsidRPr="007C5634" w:rsidTr="00103358">
        <w:trPr>
          <w:cantSplit/>
          <w:tblHeader/>
        </w:trPr>
        <w:tc>
          <w:tcPr>
            <w:tcW w:w="72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Componente</w:t>
            </w:r>
          </w:p>
        </w:tc>
        <w:tc>
          <w:tcPr>
            <w:tcW w:w="395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Autovalores iniciales</w:t>
            </w:r>
          </w:p>
        </w:tc>
        <w:tc>
          <w:tcPr>
            <w:tcW w:w="4371"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Sumas de las saturaciones al cuadrado de la extracción</w:t>
            </w:r>
          </w:p>
        </w:tc>
      </w:tr>
      <w:tr w:rsidR="007F3A13" w:rsidRPr="007C5634" w:rsidTr="00103358">
        <w:trPr>
          <w:cantSplit/>
          <w:tblHeader/>
        </w:trPr>
        <w:tc>
          <w:tcPr>
            <w:tcW w:w="72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F3A13" w:rsidRPr="007C5634" w:rsidRDefault="007F3A13" w:rsidP="007C5634">
            <w:pPr>
              <w:autoSpaceDE w:val="0"/>
              <w:autoSpaceDN w:val="0"/>
              <w:adjustRightInd w:val="0"/>
              <w:rPr>
                <w:rFonts w:ascii="Arial" w:hAnsi="Arial" w:cs="Arial"/>
                <w:sz w:val="18"/>
                <w:szCs w:val="18"/>
              </w:rPr>
            </w:pPr>
          </w:p>
        </w:tc>
        <w:tc>
          <w:tcPr>
            <w:tcW w:w="105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Total</w:t>
            </w:r>
          </w:p>
        </w:tc>
        <w:tc>
          <w:tcPr>
            <w:tcW w:w="1456" w:type="dxa"/>
            <w:tcBorders>
              <w:bottom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 de la varianza</w:t>
            </w:r>
          </w:p>
        </w:tc>
        <w:tc>
          <w:tcPr>
            <w:tcW w:w="1444" w:type="dxa"/>
            <w:tcBorders>
              <w:bottom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 acumulado</w:t>
            </w:r>
          </w:p>
        </w:tc>
        <w:tc>
          <w:tcPr>
            <w:tcW w:w="1457" w:type="dxa"/>
            <w:tcBorders>
              <w:bottom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Total</w:t>
            </w:r>
          </w:p>
        </w:tc>
        <w:tc>
          <w:tcPr>
            <w:tcW w:w="1457" w:type="dxa"/>
            <w:tcBorders>
              <w:bottom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 de la varianza</w:t>
            </w:r>
          </w:p>
        </w:tc>
        <w:tc>
          <w:tcPr>
            <w:tcW w:w="145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F3A13" w:rsidRPr="007C5634" w:rsidRDefault="000D79F9" w:rsidP="007C5634">
            <w:pPr>
              <w:autoSpaceDE w:val="0"/>
              <w:autoSpaceDN w:val="0"/>
              <w:adjustRightInd w:val="0"/>
              <w:jc w:val="center"/>
              <w:rPr>
                <w:rFonts w:ascii="Arial" w:hAnsi="Arial" w:cs="Arial"/>
                <w:sz w:val="18"/>
                <w:szCs w:val="18"/>
              </w:rPr>
            </w:pPr>
            <w:r w:rsidRPr="007C5634">
              <w:rPr>
                <w:rFonts w:ascii="Arial" w:hAnsi="Arial" w:cs="Arial"/>
                <w:sz w:val="18"/>
                <w:szCs w:val="18"/>
              </w:rPr>
              <w:t>% acumulado</w:t>
            </w:r>
          </w:p>
        </w:tc>
      </w:tr>
      <w:tr w:rsidR="007F3A13" w:rsidRPr="007C5634" w:rsidTr="00103358">
        <w:trPr>
          <w:cantSplit/>
          <w:tblHeader/>
        </w:trPr>
        <w:tc>
          <w:tcPr>
            <w:tcW w:w="7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1</w:t>
            </w:r>
          </w:p>
        </w:tc>
        <w:tc>
          <w:tcPr>
            <w:tcW w:w="10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3,759</w:t>
            </w:r>
          </w:p>
        </w:tc>
        <w:tc>
          <w:tcPr>
            <w:tcW w:w="1456" w:type="dxa"/>
            <w:tcBorders>
              <w:top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75,176</w:t>
            </w:r>
          </w:p>
        </w:tc>
        <w:tc>
          <w:tcPr>
            <w:tcW w:w="1444" w:type="dxa"/>
            <w:tcBorders>
              <w:top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75,176</w:t>
            </w:r>
          </w:p>
        </w:tc>
        <w:tc>
          <w:tcPr>
            <w:tcW w:w="1457" w:type="dxa"/>
            <w:tcBorders>
              <w:top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3,759</w:t>
            </w:r>
          </w:p>
        </w:tc>
        <w:tc>
          <w:tcPr>
            <w:tcW w:w="1457" w:type="dxa"/>
            <w:tcBorders>
              <w:top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75,176</w:t>
            </w:r>
          </w:p>
        </w:tc>
        <w:tc>
          <w:tcPr>
            <w:tcW w:w="145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75,176</w:t>
            </w:r>
          </w:p>
        </w:tc>
      </w:tr>
      <w:tr w:rsidR="007F3A13" w:rsidRPr="007C5634" w:rsidTr="00103358">
        <w:trPr>
          <w:cantSplit/>
          <w:tblHeader/>
        </w:trPr>
        <w:tc>
          <w:tcPr>
            <w:tcW w:w="7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2</w:t>
            </w:r>
          </w:p>
        </w:tc>
        <w:tc>
          <w:tcPr>
            <w:tcW w:w="1057" w:type="dxa"/>
            <w:tcBorders>
              <w:top w:val="nil"/>
              <w:left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,934</w:t>
            </w:r>
          </w:p>
        </w:tc>
        <w:tc>
          <w:tcPr>
            <w:tcW w:w="1456"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18,680</w:t>
            </w:r>
          </w:p>
        </w:tc>
        <w:tc>
          <w:tcPr>
            <w:tcW w:w="1444"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93,856</w:t>
            </w: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right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r>
      <w:tr w:rsidR="007F3A13" w:rsidRPr="007C5634" w:rsidTr="00103358">
        <w:trPr>
          <w:cantSplit/>
          <w:tblHeader/>
        </w:trPr>
        <w:tc>
          <w:tcPr>
            <w:tcW w:w="7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3</w:t>
            </w:r>
          </w:p>
        </w:tc>
        <w:tc>
          <w:tcPr>
            <w:tcW w:w="1057" w:type="dxa"/>
            <w:tcBorders>
              <w:top w:val="nil"/>
              <w:left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,179</w:t>
            </w:r>
          </w:p>
        </w:tc>
        <w:tc>
          <w:tcPr>
            <w:tcW w:w="1456"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3,573</w:t>
            </w:r>
          </w:p>
        </w:tc>
        <w:tc>
          <w:tcPr>
            <w:tcW w:w="1444"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97,430</w:t>
            </w: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right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r>
      <w:tr w:rsidR="007F3A13" w:rsidRPr="007C5634" w:rsidTr="00103358">
        <w:trPr>
          <w:cantSplit/>
          <w:tblHeader/>
        </w:trPr>
        <w:tc>
          <w:tcPr>
            <w:tcW w:w="7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4</w:t>
            </w:r>
          </w:p>
        </w:tc>
        <w:tc>
          <w:tcPr>
            <w:tcW w:w="1057" w:type="dxa"/>
            <w:tcBorders>
              <w:top w:val="nil"/>
              <w:left w:val="single" w:sz="16" w:space="0" w:color="000000"/>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,129</w:t>
            </w:r>
          </w:p>
        </w:tc>
        <w:tc>
          <w:tcPr>
            <w:tcW w:w="1456"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2,570</w:t>
            </w:r>
          </w:p>
        </w:tc>
        <w:tc>
          <w:tcPr>
            <w:tcW w:w="1444" w:type="dxa"/>
            <w:tcBorders>
              <w:top w:val="nil"/>
              <w:bottom w:val="nil"/>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100,000</w:t>
            </w: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nil"/>
              <w:right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r>
      <w:tr w:rsidR="007F3A13" w:rsidRPr="007C5634" w:rsidTr="00103358">
        <w:trPr>
          <w:cantSplit/>
        </w:trPr>
        <w:tc>
          <w:tcPr>
            <w:tcW w:w="7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5</w:t>
            </w:r>
          </w:p>
        </w:tc>
        <w:tc>
          <w:tcPr>
            <w:tcW w:w="105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1,815E-7</w:t>
            </w:r>
          </w:p>
        </w:tc>
        <w:tc>
          <w:tcPr>
            <w:tcW w:w="1456" w:type="dxa"/>
            <w:tcBorders>
              <w:top w:val="nil"/>
              <w:bottom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3,630E-6</w:t>
            </w:r>
          </w:p>
        </w:tc>
        <w:tc>
          <w:tcPr>
            <w:tcW w:w="1444" w:type="dxa"/>
            <w:tcBorders>
              <w:top w:val="nil"/>
              <w:bottom w:val="single" w:sz="16" w:space="0" w:color="000000"/>
            </w:tcBorders>
            <w:shd w:val="clear" w:color="auto" w:fill="FFFFFF"/>
            <w:tcMar>
              <w:top w:w="30" w:type="dxa"/>
              <w:left w:w="30" w:type="dxa"/>
              <w:bottom w:w="30" w:type="dxa"/>
              <w:right w:w="30" w:type="dxa"/>
            </w:tcMar>
            <w:vAlign w:val="center"/>
          </w:tcPr>
          <w:p w:rsidR="007F3A13" w:rsidRPr="007C5634" w:rsidRDefault="000D79F9" w:rsidP="007C5634">
            <w:pPr>
              <w:autoSpaceDE w:val="0"/>
              <w:autoSpaceDN w:val="0"/>
              <w:adjustRightInd w:val="0"/>
              <w:jc w:val="right"/>
              <w:rPr>
                <w:rFonts w:ascii="Arial" w:hAnsi="Arial" w:cs="Arial"/>
                <w:sz w:val="18"/>
                <w:szCs w:val="18"/>
              </w:rPr>
            </w:pPr>
            <w:r w:rsidRPr="007C5634">
              <w:rPr>
                <w:rFonts w:ascii="Arial" w:hAnsi="Arial" w:cs="Arial"/>
                <w:sz w:val="18"/>
                <w:szCs w:val="18"/>
              </w:rPr>
              <w:t>100,000</w:t>
            </w:r>
          </w:p>
        </w:tc>
        <w:tc>
          <w:tcPr>
            <w:tcW w:w="1457" w:type="dxa"/>
            <w:tcBorders>
              <w:top w:val="nil"/>
              <w:bottom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r>
      <w:tr w:rsidR="007F3A13" w:rsidRPr="007C5634" w:rsidTr="00103358">
        <w:trPr>
          <w:cantSplit/>
        </w:trPr>
        <w:tc>
          <w:tcPr>
            <w:tcW w:w="6142" w:type="dxa"/>
            <w:gridSpan w:val="5"/>
            <w:tcBorders>
              <w:top w:val="nil"/>
              <w:left w:val="nil"/>
              <w:bottom w:val="nil"/>
              <w:right w:val="nil"/>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8"/>
                <w:szCs w:val="18"/>
              </w:rPr>
            </w:pPr>
            <w:r w:rsidRPr="007C5634">
              <w:rPr>
                <w:rFonts w:ascii="Arial" w:hAnsi="Arial" w:cs="Arial"/>
                <w:sz w:val="18"/>
                <w:szCs w:val="18"/>
              </w:rPr>
              <w:t>Método de extracción: Análisis de Componentes principales.</w:t>
            </w:r>
          </w:p>
          <w:p w:rsidR="00EA5E3F" w:rsidRPr="007C5634" w:rsidRDefault="00F03D31"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r w:rsidRPr="007C5634">
              <w:rPr>
                <w:rFonts w:ascii="Arial" w:eastAsia="Times New Roman" w:hAnsi="Arial" w:cs="Arial"/>
                <w:sz w:val="18"/>
                <w:szCs w:val="18"/>
                <w:lang w:val="es-ES" w:eastAsia="es-ES"/>
              </w:rPr>
              <w:t>Fuente</w:t>
            </w:r>
            <w:r w:rsidR="00EA5E3F" w:rsidRPr="007C5634">
              <w:rPr>
                <w:rFonts w:ascii="Arial" w:eastAsia="Times New Roman" w:hAnsi="Arial" w:cs="Arial"/>
                <w:sz w:val="18"/>
                <w:szCs w:val="18"/>
                <w:lang w:val="es-ES" w:eastAsia="es-ES"/>
              </w:rPr>
              <w:t>: Elaboración propia.</w:t>
            </w:r>
          </w:p>
          <w:p w:rsidR="00EA5E3F" w:rsidRPr="007C5634" w:rsidRDefault="00EA5E3F" w:rsidP="007C5634">
            <w:pPr>
              <w:autoSpaceDE w:val="0"/>
              <w:autoSpaceDN w:val="0"/>
              <w:adjustRightInd w:val="0"/>
              <w:rPr>
                <w:rFonts w:ascii="Arial" w:hAnsi="Arial" w:cs="Arial"/>
                <w:sz w:val="18"/>
                <w:szCs w:val="18"/>
              </w:rPr>
            </w:pPr>
          </w:p>
        </w:tc>
        <w:tc>
          <w:tcPr>
            <w:tcW w:w="1457" w:type="dxa"/>
            <w:tcBorders>
              <w:top w:val="nil"/>
              <w:left w:val="nil"/>
              <w:bottom w:val="nil"/>
              <w:right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c>
          <w:tcPr>
            <w:tcW w:w="1457" w:type="dxa"/>
            <w:tcBorders>
              <w:top w:val="nil"/>
              <w:left w:val="nil"/>
              <w:bottom w:val="nil"/>
              <w:right w:val="nil"/>
            </w:tcBorders>
            <w:shd w:val="clear" w:color="auto" w:fill="FFFFFF"/>
            <w:tcMar>
              <w:top w:w="30" w:type="dxa"/>
              <w:left w:w="30" w:type="dxa"/>
              <w:bottom w:w="30" w:type="dxa"/>
              <w:right w:w="30" w:type="dxa"/>
            </w:tcMar>
          </w:tcPr>
          <w:p w:rsidR="007F3A13" w:rsidRPr="007C5634" w:rsidRDefault="007F3A13" w:rsidP="007C5634">
            <w:pPr>
              <w:autoSpaceDE w:val="0"/>
              <w:autoSpaceDN w:val="0"/>
              <w:adjustRightInd w:val="0"/>
              <w:rPr>
                <w:rFonts w:ascii="Arial" w:hAnsi="Arial" w:cs="Arial"/>
              </w:rPr>
            </w:pPr>
          </w:p>
        </w:tc>
      </w:tr>
    </w:tbl>
    <w:p w:rsidR="007F3A13" w:rsidRPr="00C9552F" w:rsidRDefault="000D79F9" w:rsidP="007C5634">
      <w:pPr>
        <w:pStyle w:val="Prrafodelista"/>
        <w:spacing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Las variables que integran el factor obtenido (</w:t>
      </w:r>
      <w:r w:rsidRPr="00C9552F">
        <w:rPr>
          <w:rFonts w:ascii="Arial" w:eastAsia="Times New Roman" w:hAnsi="Arial" w:cs="Arial"/>
          <w:i/>
          <w:lang w:val="es-ES" w:eastAsia="es-ES"/>
        </w:rPr>
        <w:t xml:space="preserve">Logro </w:t>
      </w:r>
      <w:r w:rsidRPr="00C9552F">
        <w:rPr>
          <w:rFonts w:ascii="Arial" w:eastAsia="Times New Roman" w:hAnsi="Arial" w:cs="Arial"/>
          <w:lang w:val="es-ES" w:eastAsia="es-ES"/>
        </w:rPr>
        <w:t xml:space="preserve">empresarial) se muestran en el Cuadro </w:t>
      </w:r>
      <w:r w:rsidR="0014069F" w:rsidRPr="00C9552F">
        <w:rPr>
          <w:rFonts w:ascii="Arial" w:eastAsia="Times New Roman" w:hAnsi="Arial" w:cs="Arial"/>
          <w:lang w:val="es-ES" w:eastAsia="es-ES"/>
        </w:rPr>
        <w:t>5</w:t>
      </w:r>
      <w:r w:rsidRPr="00C9552F">
        <w:rPr>
          <w:rFonts w:ascii="Arial" w:eastAsia="Times New Roman" w:hAnsi="Arial" w:cs="Arial"/>
          <w:lang w:val="es-ES" w:eastAsia="es-ES"/>
        </w:rPr>
        <w:t xml:space="preserve">, así como sus comunalidades, es decir, la proporción de varianza de cada variable explicada por el factor. </w:t>
      </w:r>
    </w:p>
    <w:p w:rsidR="0014069F" w:rsidRPr="007C5634" w:rsidRDefault="0014069F" w:rsidP="007C5634">
      <w:pPr>
        <w:pStyle w:val="Prrafodelista"/>
        <w:spacing w:after="0" w:line="240" w:lineRule="auto"/>
        <w:ind w:left="0" w:firstLine="567"/>
        <w:contextualSpacing w:val="0"/>
        <w:jc w:val="both"/>
        <w:rPr>
          <w:rFonts w:ascii="Arial" w:eastAsia="Times New Roman" w:hAnsi="Arial" w:cs="Arial"/>
          <w:sz w:val="24"/>
          <w:szCs w:val="24"/>
          <w:lang w:val="es-ES" w:eastAsia="es-ES"/>
        </w:rPr>
      </w:pPr>
    </w:p>
    <w:tbl>
      <w:tblPr>
        <w:tblW w:w="395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29"/>
        <w:gridCol w:w="1000"/>
        <w:gridCol w:w="1126"/>
      </w:tblGrid>
      <w:tr w:rsidR="007F3A13" w:rsidRPr="007C5634" w:rsidTr="007F3A13">
        <w:trPr>
          <w:cantSplit/>
          <w:tblHeader/>
          <w:jc w:val="center"/>
        </w:trPr>
        <w:tc>
          <w:tcPr>
            <w:tcW w:w="3955" w:type="dxa"/>
            <w:gridSpan w:val="3"/>
            <w:tcBorders>
              <w:top w:val="nil"/>
              <w:left w:val="nil"/>
              <w:bottom w:val="nil"/>
              <w:right w:val="nil"/>
            </w:tcBorders>
            <w:shd w:val="clear" w:color="auto" w:fill="FFFFFF"/>
            <w:tcMar>
              <w:top w:w="30" w:type="dxa"/>
              <w:left w:w="30" w:type="dxa"/>
              <w:bottom w:w="30" w:type="dxa"/>
              <w:right w:w="30" w:type="dxa"/>
            </w:tcMar>
            <w:vAlign w:val="center"/>
          </w:tcPr>
          <w:p w:rsidR="00DF5037" w:rsidRPr="007C5634" w:rsidRDefault="000D79F9" w:rsidP="007C5634">
            <w:pPr>
              <w:autoSpaceDE w:val="0"/>
              <w:autoSpaceDN w:val="0"/>
              <w:adjustRightInd w:val="0"/>
              <w:jc w:val="center"/>
              <w:rPr>
                <w:rFonts w:ascii="Arial" w:hAnsi="Arial" w:cs="Arial"/>
              </w:rPr>
            </w:pPr>
            <w:r w:rsidRPr="007C5634">
              <w:rPr>
                <w:rFonts w:ascii="Arial" w:hAnsi="Arial" w:cs="Arial"/>
              </w:rPr>
              <w:t xml:space="preserve">CUADRO </w:t>
            </w:r>
            <w:r w:rsidR="0014069F">
              <w:rPr>
                <w:rFonts w:ascii="Arial" w:hAnsi="Arial" w:cs="Arial"/>
              </w:rPr>
              <w:t>5</w:t>
            </w:r>
          </w:p>
          <w:p w:rsidR="007F3A13" w:rsidRPr="007C5634" w:rsidRDefault="000D79F9" w:rsidP="007C5634">
            <w:pPr>
              <w:autoSpaceDE w:val="0"/>
              <w:autoSpaceDN w:val="0"/>
              <w:adjustRightInd w:val="0"/>
              <w:jc w:val="center"/>
              <w:rPr>
                <w:rFonts w:ascii="Arial" w:hAnsi="Arial" w:cs="Arial"/>
                <w:b/>
                <w:sz w:val="22"/>
              </w:rPr>
            </w:pPr>
            <w:r w:rsidRPr="007C5634">
              <w:rPr>
                <w:rFonts w:ascii="Arial" w:hAnsi="Arial" w:cs="Arial"/>
                <w:b/>
              </w:rPr>
              <w:t>Comunalidades</w:t>
            </w:r>
          </w:p>
        </w:tc>
      </w:tr>
      <w:tr w:rsidR="007F3A13" w:rsidRPr="00C108F0" w:rsidTr="007F3A13">
        <w:trPr>
          <w:cantSplit/>
          <w:tblHeader/>
          <w:jc w:val="center"/>
        </w:trPr>
        <w:tc>
          <w:tcPr>
            <w:tcW w:w="182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F3A13" w:rsidRPr="00C108F0" w:rsidRDefault="007F3A13" w:rsidP="007C5634">
            <w:pPr>
              <w:autoSpaceDE w:val="0"/>
              <w:autoSpaceDN w:val="0"/>
              <w:adjustRightInd w:val="0"/>
              <w:rPr>
                <w:rFonts w:ascii="Arial" w:hAnsi="Arial" w:cs="Arial"/>
                <w:sz w:val="22"/>
                <w:szCs w:val="22"/>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F3A13" w:rsidRPr="00C108F0" w:rsidRDefault="000D79F9" w:rsidP="007C5634">
            <w:pPr>
              <w:autoSpaceDE w:val="0"/>
              <w:autoSpaceDN w:val="0"/>
              <w:adjustRightInd w:val="0"/>
              <w:jc w:val="center"/>
              <w:rPr>
                <w:rFonts w:ascii="Arial" w:hAnsi="Arial" w:cs="Arial"/>
                <w:sz w:val="22"/>
                <w:szCs w:val="22"/>
              </w:rPr>
            </w:pPr>
            <w:r w:rsidRPr="00C108F0">
              <w:rPr>
                <w:rFonts w:ascii="Arial" w:hAnsi="Arial" w:cs="Arial"/>
                <w:sz w:val="22"/>
                <w:szCs w:val="22"/>
              </w:rPr>
              <w:t>Inicial</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F3A13" w:rsidRPr="00C108F0" w:rsidRDefault="000D79F9" w:rsidP="007C5634">
            <w:pPr>
              <w:autoSpaceDE w:val="0"/>
              <w:autoSpaceDN w:val="0"/>
              <w:adjustRightInd w:val="0"/>
              <w:jc w:val="center"/>
              <w:rPr>
                <w:rFonts w:ascii="Arial" w:hAnsi="Arial" w:cs="Arial"/>
                <w:sz w:val="22"/>
                <w:szCs w:val="22"/>
              </w:rPr>
            </w:pPr>
            <w:r w:rsidRPr="00C108F0">
              <w:rPr>
                <w:rFonts w:ascii="Arial" w:hAnsi="Arial" w:cs="Arial"/>
                <w:sz w:val="22"/>
                <w:szCs w:val="22"/>
              </w:rPr>
              <w:t>Extracción</w:t>
            </w:r>
          </w:p>
        </w:tc>
      </w:tr>
      <w:tr w:rsidR="00EA5E3F" w:rsidRPr="00C108F0" w:rsidTr="007F3A13">
        <w:trPr>
          <w:cantSplit/>
          <w:tblHeader/>
          <w:jc w:val="center"/>
        </w:trPr>
        <w:tc>
          <w:tcPr>
            <w:tcW w:w="182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A5E3F" w:rsidRPr="00C108F0"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C108F0">
              <w:rPr>
                <w:rFonts w:ascii="Arial" w:eastAsia="Times New Roman" w:hAnsi="Arial" w:cs="Arial"/>
                <w:lang w:val="es-ES" w:eastAsia="es-ES"/>
              </w:rPr>
              <w:t>EBITDAc</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A5E3F" w:rsidRPr="00C108F0" w:rsidRDefault="000D79F9" w:rsidP="007C5634">
            <w:pPr>
              <w:pStyle w:val="Prrafodelista"/>
              <w:spacing w:before="120" w:after="120" w:line="240" w:lineRule="auto"/>
              <w:ind w:left="0"/>
              <w:contextualSpacing w:val="0"/>
              <w:jc w:val="right"/>
              <w:rPr>
                <w:rFonts w:ascii="Arial" w:eastAsia="Times New Roman" w:hAnsi="Arial" w:cs="Arial"/>
                <w:lang w:val="es-ES" w:eastAsia="es-ES"/>
              </w:rPr>
            </w:pPr>
            <w:r w:rsidRPr="00C108F0">
              <w:rPr>
                <w:rFonts w:ascii="Arial" w:eastAsia="Times New Roman" w:hAnsi="Arial" w:cs="Arial"/>
                <w:lang w:val="es-ES" w:eastAsia="es-ES"/>
              </w:rPr>
              <w:t>1,000</w:t>
            </w:r>
          </w:p>
        </w:tc>
        <w:tc>
          <w:tcPr>
            <w:tcW w:w="112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5E3F" w:rsidRPr="00C108F0" w:rsidRDefault="000D79F9" w:rsidP="007C5634">
            <w:pPr>
              <w:pStyle w:val="Prrafodelista"/>
              <w:spacing w:before="120" w:after="120" w:line="240" w:lineRule="auto"/>
              <w:ind w:left="0"/>
              <w:contextualSpacing w:val="0"/>
              <w:jc w:val="right"/>
              <w:rPr>
                <w:rFonts w:ascii="Arial" w:eastAsia="Times New Roman" w:hAnsi="Arial" w:cs="Arial"/>
                <w:lang w:val="es-ES" w:eastAsia="es-ES"/>
              </w:rPr>
            </w:pPr>
            <w:r w:rsidRPr="00C108F0">
              <w:rPr>
                <w:rFonts w:ascii="Arial" w:eastAsia="Times New Roman" w:hAnsi="Arial" w:cs="Arial"/>
                <w:lang w:val="es-ES" w:eastAsia="es-ES"/>
              </w:rPr>
              <w:t>,691</w:t>
            </w:r>
          </w:p>
        </w:tc>
      </w:tr>
      <w:tr w:rsidR="007F3A13" w:rsidRPr="00C108F0" w:rsidTr="007F3A13">
        <w:trPr>
          <w:cantSplit/>
          <w:tblHeader/>
          <w:jc w:val="center"/>
        </w:trPr>
        <w:tc>
          <w:tcPr>
            <w:tcW w:w="182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F3A13" w:rsidRPr="00C108F0"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C108F0">
              <w:rPr>
                <w:rFonts w:ascii="Arial" w:eastAsia="Times New Roman" w:hAnsi="Arial" w:cs="Arial"/>
                <w:lang w:val="es-ES" w:eastAsia="es-ES"/>
              </w:rPr>
              <w:t>ROAc</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7F3A13" w:rsidRPr="00C108F0" w:rsidRDefault="000D79F9" w:rsidP="007C5634">
            <w:pPr>
              <w:pStyle w:val="Prrafodelista"/>
              <w:spacing w:before="120" w:after="120" w:line="240" w:lineRule="auto"/>
              <w:ind w:left="0"/>
              <w:contextualSpacing w:val="0"/>
              <w:jc w:val="right"/>
              <w:rPr>
                <w:rFonts w:ascii="Arial" w:eastAsia="Times New Roman" w:hAnsi="Arial" w:cs="Arial"/>
                <w:lang w:val="es-ES" w:eastAsia="es-ES"/>
              </w:rPr>
            </w:pPr>
            <w:r w:rsidRPr="00C108F0">
              <w:rPr>
                <w:rFonts w:ascii="Arial" w:eastAsia="Times New Roman" w:hAnsi="Arial" w:cs="Arial"/>
                <w:lang w:val="es-ES" w:eastAsia="es-ES"/>
              </w:rPr>
              <w:t>1,000</w:t>
            </w:r>
          </w:p>
        </w:tc>
        <w:tc>
          <w:tcPr>
            <w:tcW w:w="1126" w:type="dxa"/>
            <w:tcBorders>
              <w:top w:val="nil"/>
              <w:bottom w:val="nil"/>
              <w:right w:val="single" w:sz="16" w:space="0" w:color="000000"/>
            </w:tcBorders>
            <w:shd w:val="clear" w:color="auto" w:fill="FFFFFF"/>
            <w:tcMar>
              <w:top w:w="30" w:type="dxa"/>
              <w:left w:w="30" w:type="dxa"/>
              <w:bottom w:w="30" w:type="dxa"/>
              <w:right w:w="30" w:type="dxa"/>
            </w:tcMar>
            <w:vAlign w:val="center"/>
          </w:tcPr>
          <w:p w:rsidR="007F3A13" w:rsidRPr="00C108F0" w:rsidRDefault="000D79F9" w:rsidP="007C5634">
            <w:pPr>
              <w:pStyle w:val="Prrafodelista"/>
              <w:spacing w:before="120" w:after="120" w:line="240" w:lineRule="auto"/>
              <w:ind w:left="0"/>
              <w:contextualSpacing w:val="0"/>
              <w:jc w:val="right"/>
              <w:rPr>
                <w:rFonts w:ascii="Arial" w:eastAsia="Times New Roman" w:hAnsi="Arial" w:cs="Arial"/>
                <w:lang w:val="es-ES" w:eastAsia="es-ES"/>
              </w:rPr>
            </w:pPr>
            <w:r w:rsidRPr="00C108F0">
              <w:rPr>
                <w:rFonts w:ascii="Arial" w:eastAsia="Times New Roman" w:hAnsi="Arial" w:cs="Arial"/>
                <w:lang w:val="es-ES" w:eastAsia="es-ES"/>
              </w:rPr>
              <w:t>,860</w:t>
            </w:r>
          </w:p>
        </w:tc>
      </w:tr>
      <w:tr w:rsidR="00EA5E3F" w:rsidRPr="00C108F0" w:rsidTr="007F3A13">
        <w:trPr>
          <w:cantSplit/>
          <w:tblHeader/>
          <w:jc w:val="center"/>
        </w:trPr>
        <w:tc>
          <w:tcPr>
            <w:tcW w:w="182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A5E3F" w:rsidRPr="00C108F0"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C108F0">
              <w:rPr>
                <w:rFonts w:ascii="Arial" w:eastAsia="Times New Roman" w:hAnsi="Arial" w:cs="Arial"/>
                <w:lang w:val="es-ES" w:eastAsia="es-ES"/>
              </w:rPr>
              <w:t>Aprov</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1,000</w:t>
            </w:r>
          </w:p>
        </w:tc>
        <w:tc>
          <w:tcPr>
            <w:tcW w:w="1126" w:type="dxa"/>
            <w:tcBorders>
              <w:top w:val="nil"/>
              <w:bottom w:val="nil"/>
              <w:right w:val="single" w:sz="16" w:space="0" w:color="000000"/>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,860</w:t>
            </w:r>
          </w:p>
        </w:tc>
      </w:tr>
      <w:tr w:rsidR="00EA5E3F" w:rsidRPr="00C108F0" w:rsidTr="007F3A13">
        <w:trPr>
          <w:cantSplit/>
          <w:tblHeader/>
          <w:jc w:val="center"/>
        </w:trPr>
        <w:tc>
          <w:tcPr>
            <w:tcW w:w="182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A5E3F" w:rsidRPr="00C108F0"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C108F0">
              <w:rPr>
                <w:rFonts w:ascii="Arial" w:eastAsia="Times New Roman" w:hAnsi="Arial" w:cs="Arial"/>
                <w:lang w:val="es-ES" w:eastAsia="es-ES"/>
              </w:rPr>
              <w:t>Rentabc</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1,000</w:t>
            </w:r>
          </w:p>
        </w:tc>
        <w:tc>
          <w:tcPr>
            <w:tcW w:w="1126" w:type="dxa"/>
            <w:tcBorders>
              <w:top w:val="nil"/>
              <w:bottom w:val="nil"/>
              <w:right w:val="single" w:sz="16" w:space="0" w:color="000000"/>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,835</w:t>
            </w:r>
          </w:p>
        </w:tc>
      </w:tr>
      <w:tr w:rsidR="00EA5E3F" w:rsidRPr="00C108F0" w:rsidTr="007F3A13">
        <w:trPr>
          <w:cantSplit/>
          <w:tblHeader/>
          <w:jc w:val="center"/>
        </w:trPr>
        <w:tc>
          <w:tcPr>
            <w:tcW w:w="182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A5E3F" w:rsidRPr="00C108F0" w:rsidRDefault="000D79F9" w:rsidP="007C5634">
            <w:pPr>
              <w:pStyle w:val="Prrafodelista"/>
              <w:spacing w:before="120" w:after="120" w:line="240" w:lineRule="auto"/>
              <w:ind w:left="0"/>
              <w:contextualSpacing w:val="0"/>
              <w:jc w:val="both"/>
              <w:rPr>
                <w:rFonts w:ascii="Arial" w:eastAsia="Times New Roman" w:hAnsi="Arial" w:cs="Arial"/>
                <w:lang w:val="es-ES" w:eastAsia="es-ES"/>
              </w:rPr>
            </w:pPr>
            <w:r w:rsidRPr="00C108F0">
              <w:rPr>
                <w:rFonts w:ascii="Arial" w:eastAsia="Times New Roman" w:hAnsi="Arial" w:cs="Arial"/>
                <w:lang w:val="es-ES" w:eastAsia="es-ES"/>
              </w:rPr>
              <w:t>VABc</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1,000</w:t>
            </w:r>
          </w:p>
        </w:tc>
        <w:tc>
          <w:tcPr>
            <w:tcW w:w="112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A5E3F" w:rsidRPr="00C108F0" w:rsidRDefault="000D79F9" w:rsidP="007C5634">
            <w:pPr>
              <w:autoSpaceDE w:val="0"/>
              <w:autoSpaceDN w:val="0"/>
              <w:adjustRightInd w:val="0"/>
              <w:jc w:val="right"/>
              <w:rPr>
                <w:rFonts w:ascii="Arial" w:hAnsi="Arial" w:cs="Arial"/>
                <w:sz w:val="22"/>
                <w:szCs w:val="22"/>
              </w:rPr>
            </w:pPr>
            <w:r w:rsidRPr="00C108F0">
              <w:rPr>
                <w:rFonts w:ascii="Arial" w:hAnsi="Arial" w:cs="Arial"/>
                <w:sz w:val="22"/>
                <w:szCs w:val="22"/>
              </w:rPr>
              <w:t>,513</w:t>
            </w:r>
          </w:p>
        </w:tc>
      </w:tr>
      <w:tr w:rsidR="007F3A13" w:rsidRPr="007C5634" w:rsidTr="007F3A13">
        <w:trPr>
          <w:cantSplit/>
          <w:jc w:val="center"/>
        </w:trPr>
        <w:tc>
          <w:tcPr>
            <w:tcW w:w="3955" w:type="dxa"/>
            <w:gridSpan w:val="3"/>
            <w:tcBorders>
              <w:top w:val="nil"/>
              <w:left w:val="nil"/>
              <w:bottom w:val="nil"/>
              <w:right w:val="nil"/>
            </w:tcBorders>
            <w:shd w:val="clear" w:color="auto" w:fill="FFFFFF"/>
            <w:tcMar>
              <w:top w:w="30" w:type="dxa"/>
              <w:left w:w="30" w:type="dxa"/>
              <w:bottom w:w="30" w:type="dxa"/>
              <w:right w:w="30" w:type="dxa"/>
            </w:tcMar>
          </w:tcPr>
          <w:p w:rsidR="007F3A13" w:rsidRPr="007C5634" w:rsidRDefault="000D79F9" w:rsidP="007C5634">
            <w:pPr>
              <w:autoSpaceDE w:val="0"/>
              <w:autoSpaceDN w:val="0"/>
              <w:adjustRightInd w:val="0"/>
              <w:rPr>
                <w:rFonts w:ascii="Arial" w:hAnsi="Arial" w:cs="Arial"/>
                <w:sz w:val="14"/>
                <w:szCs w:val="18"/>
              </w:rPr>
            </w:pPr>
            <w:r w:rsidRPr="007C5634">
              <w:rPr>
                <w:rFonts w:ascii="Arial" w:hAnsi="Arial" w:cs="Arial"/>
                <w:sz w:val="14"/>
                <w:szCs w:val="18"/>
              </w:rPr>
              <w:t>Método de extracción: Análisis de Componentes principales.</w:t>
            </w:r>
          </w:p>
        </w:tc>
      </w:tr>
      <w:tr w:rsidR="00EA5E3F" w:rsidRPr="007C5634" w:rsidTr="007F3A13">
        <w:trPr>
          <w:cantSplit/>
          <w:jc w:val="center"/>
        </w:trPr>
        <w:tc>
          <w:tcPr>
            <w:tcW w:w="3955" w:type="dxa"/>
            <w:gridSpan w:val="3"/>
            <w:tcBorders>
              <w:top w:val="nil"/>
              <w:left w:val="nil"/>
              <w:bottom w:val="nil"/>
              <w:right w:val="nil"/>
            </w:tcBorders>
            <w:shd w:val="clear" w:color="auto" w:fill="FFFFFF"/>
            <w:tcMar>
              <w:top w:w="30" w:type="dxa"/>
              <w:left w:w="30" w:type="dxa"/>
              <w:bottom w:w="30" w:type="dxa"/>
              <w:right w:w="30" w:type="dxa"/>
            </w:tcMar>
          </w:tcPr>
          <w:p w:rsidR="009547E5" w:rsidRPr="007C5634" w:rsidRDefault="000D79F9"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r w:rsidRPr="007C5634">
              <w:rPr>
                <w:rFonts w:ascii="Arial" w:eastAsia="Times New Roman" w:hAnsi="Arial" w:cs="Arial"/>
                <w:sz w:val="18"/>
                <w:szCs w:val="18"/>
                <w:lang w:val="es-ES" w:eastAsia="es-ES"/>
              </w:rPr>
              <w:t>FUENTE: Elaboración propia.</w:t>
            </w:r>
          </w:p>
          <w:p w:rsidR="003A11D8" w:rsidRPr="007C5634" w:rsidRDefault="003A11D8" w:rsidP="007C5634">
            <w:pPr>
              <w:pStyle w:val="Prrafodelista"/>
              <w:spacing w:before="120" w:after="0" w:line="240" w:lineRule="auto"/>
              <w:ind w:left="0"/>
              <w:contextualSpacing w:val="0"/>
              <w:jc w:val="both"/>
              <w:rPr>
                <w:rFonts w:ascii="Arial" w:eastAsia="Times New Roman" w:hAnsi="Arial" w:cs="Arial"/>
                <w:sz w:val="18"/>
                <w:szCs w:val="18"/>
                <w:lang w:val="es-ES" w:eastAsia="es-ES"/>
              </w:rPr>
            </w:pPr>
          </w:p>
        </w:tc>
      </w:tr>
    </w:tbl>
    <w:p w:rsidR="009547E5" w:rsidRPr="00C9552F" w:rsidRDefault="000D79F9" w:rsidP="007C5634">
      <w:pPr>
        <w:pStyle w:val="Prrafodelista"/>
        <w:spacing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Podemos afirmar que las comunalidades, a excepción del VABc, son elevadas, es decir, que las variables están bien representadas por el factor obtenido, puesto que una parte importante de la varianza queda explicada en el mismo.</w:t>
      </w:r>
    </w:p>
    <w:p w:rsidR="0014069F" w:rsidRPr="00C9552F" w:rsidRDefault="0014069F" w:rsidP="007C5634">
      <w:pPr>
        <w:pStyle w:val="Prrafodelista"/>
        <w:spacing w:after="0" w:line="240" w:lineRule="auto"/>
        <w:ind w:left="0" w:firstLine="567"/>
        <w:contextualSpacing w:val="0"/>
        <w:jc w:val="both"/>
        <w:rPr>
          <w:rFonts w:ascii="Arial" w:eastAsia="Times New Roman" w:hAnsi="Arial" w:cs="Arial"/>
          <w:lang w:val="es-ES" w:eastAsia="es-ES"/>
        </w:rPr>
      </w:pPr>
    </w:p>
    <w:p w:rsidR="009E15C4" w:rsidRPr="00C9552F" w:rsidRDefault="00B425CD" w:rsidP="007C5634">
      <w:pPr>
        <w:pStyle w:val="Ttulo1"/>
        <w:rPr>
          <w:rFonts w:ascii="Arial" w:hAnsi="Arial" w:cs="Arial"/>
          <w:sz w:val="22"/>
          <w:szCs w:val="22"/>
        </w:rPr>
      </w:pPr>
      <w:r w:rsidRPr="00C9552F">
        <w:rPr>
          <w:rFonts w:ascii="Arial" w:hAnsi="Arial" w:cs="Arial"/>
          <w:sz w:val="22"/>
          <w:szCs w:val="22"/>
        </w:rPr>
        <w:t>Conclusiones</w:t>
      </w:r>
    </w:p>
    <w:p w:rsidR="00BC7A7A" w:rsidRP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Las evidencias empíricas aportadas por este trabajo vienen a suponer un paso más en el conocimiento de la</w:t>
      </w:r>
      <w:r w:rsidR="00516F2C" w:rsidRPr="00C9552F">
        <w:rPr>
          <w:rFonts w:ascii="Arial" w:eastAsia="Times New Roman" w:hAnsi="Arial" w:cs="Arial"/>
          <w:lang w:val="es-ES" w:eastAsia="es-ES"/>
        </w:rPr>
        <w:t>s</w:t>
      </w:r>
      <w:r w:rsidRPr="00C9552F">
        <w:rPr>
          <w:rFonts w:ascii="Arial" w:eastAsia="Times New Roman" w:hAnsi="Arial" w:cs="Arial"/>
          <w:lang w:val="es-ES" w:eastAsia="es-ES"/>
        </w:rPr>
        <w:t xml:space="preserve"> sociedad</w:t>
      </w:r>
      <w:r w:rsidR="00516F2C" w:rsidRPr="00C9552F">
        <w:rPr>
          <w:rFonts w:ascii="Arial" w:eastAsia="Times New Roman" w:hAnsi="Arial" w:cs="Arial"/>
          <w:lang w:val="es-ES" w:eastAsia="es-ES"/>
        </w:rPr>
        <w:t>es</w:t>
      </w:r>
      <w:r w:rsidRPr="00C9552F">
        <w:rPr>
          <w:rFonts w:ascii="Arial" w:eastAsia="Times New Roman" w:hAnsi="Arial" w:cs="Arial"/>
          <w:lang w:val="es-ES" w:eastAsia="es-ES"/>
        </w:rPr>
        <w:t xml:space="preserve"> cooperativa</w:t>
      </w:r>
      <w:r w:rsidR="00516F2C" w:rsidRPr="00C9552F">
        <w:rPr>
          <w:rFonts w:ascii="Arial" w:eastAsia="Times New Roman" w:hAnsi="Arial" w:cs="Arial"/>
          <w:lang w:val="es-ES" w:eastAsia="es-ES"/>
        </w:rPr>
        <w:t>s agrarias españolas</w:t>
      </w:r>
      <w:r w:rsidRPr="00C9552F">
        <w:rPr>
          <w:rFonts w:ascii="Arial" w:eastAsia="Times New Roman" w:hAnsi="Arial" w:cs="Arial"/>
          <w:lang w:val="es-ES" w:eastAsia="es-ES"/>
        </w:rPr>
        <w:t>, que presenta rasgos sustantivos que las identifican y a la vez las diferencian del conjunto de sociedades mercantiles.</w:t>
      </w:r>
    </w:p>
    <w:p w:rsidR="00BC7A7A" w:rsidRP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 xml:space="preserve">Un primer análisis descriptivo de la muestra de entidades del sector agroalimentario español revela la importancia que las entidades de pequeña dimensión, clasificadas como </w:t>
      </w:r>
      <w:r w:rsidRPr="00C9552F">
        <w:rPr>
          <w:rFonts w:ascii="Arial" w:eastAsia="Times New Roman" w:hAnsi="Arial" w:cs="Arial"/>
          <w:i/>
          <w:lang w:val="es-ES" w:eastAsia="es-ES"/>
        </w:rPr>
        <w:t>microempresas</w:t>
      </w:r>
      <w:r w:rsidRPr="00C9552F">
        <w:rPr>
          <w:rFonts w:ascii="Arial" w:eastAsia="Times New Roman" w:hAnsi="Arial" w:cs="Arial"/>
          <w:lang w:val="es-ES" w:eastAsia="es-ES"/>
        </w:rPr>
        <w:t xml:space="preserve">, representan en el sector cooperativo agroalimentario. Este hecho ya ha sido reiteradamente calificado por la investigación como un mal endémico cooperativismo </w:t>
      </w:r>
      <w:r w:rsidRPr="00C9552F">
        <w:rPr>
          <w:rFonts w:ascii="Arial" w:eastAsia="Times New Roman" w:hAnsi="Arial" w:cs="Arial"/>
          <w:lang w:val="es-ES" w:eastAsia="es-ES"/>
        </w:rPr>
        <w:lastRenderedPageBreak/>
        <w:t>agroalimentario español, que debe buscar mayores tasas de competitividad a través de las economías de escala que proporcionan tamaños empresariales más acordes con el actual escenario económico.</w:t>
      </w:r>
    </w:p>
    <w:p w:rsidR="00C108F0" w:rsidRPr="00C9552F" w:rsidRDefault="00C108F0"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La determinación del logro empresarial en cooperativas a través de análisis multivariante mediante Análisis de Componentes Principales señala que es posible obtener un indicador que contiene una parte importante de la varianza de las variables utilizadas y que puede ser utilizado como medida del rendimiento o desempeño de la cooperativa en su actividad económica.</w:t>
      </w:r>
      <w:r w:rsidR="000D79F9" w:rsidRPr="00C9552F">
        <w:rPr>
          <w:rFonts w:ascii="Arial" w:eastAsia="Times New Roman" w:hAnsi="Arial" w:cs="Arial"/>
          <w:lang w:val="es-ES" w:eastAsia="es-ES"/>
        </w:rPr>
        <w:t xml:space="preserve"> </w:t>
      </w:r>
      <w:r w:rsidRPr="00C9552F">
        <w:rPr>
          <w:rFonts w:ascii="Arial" w:eastAsia="Times New Roman" w:hAnsi="Arial" w:cs="Arial"/>
          <w:lang w:val="es-ES" w:eastAsia="es-ES"/>
        </w:rPr>
        <w:t xml:space="preserve">Las variables que han resultado significativas en el análisis y cuya información por tanto queda recogida en la variable son: EBITDA </w:t>
      </w:r>
      <w:r w:rsidRPr="00C9552F">
        <w:rPr>
          <w:rFonts w:ascii="Arial" w:eastAsia="Times New Roman" w:hAnsi="Arial" w:cs="Arial"/>
          <w:i/>
          <w:lang w:val="es-ES" w:eastAsia="es-ES"/>
        </w:rPr>
        <w:t>cooperativo</w:t>
      </w:r>
      <w:r w:rsidRPr="00C9552F">
        <w:rPr>
          <w:rFonts w:ascii="Arial" w:eastAsia="Times New Roman" w:hAnsi="Arial" w:cs="Arial"/>
          <w:lang w:val="es-ES" w:eastAsia="es-ES"/>
        </w:rPr>
        <w:t xml:space="preserve"> sobre ventas, rentabilidad económica </w:t>
      </w:r>
      <w:r w:rsidRPr="00C9552F">
        <w:rPr>
          <w:rFonts w:ascii="Arial" w:eastAsia="Times New Roman" w:hAnsi="Arial" w:cs="Arial"/>
          <w:i/>
          <w:lang w:val="es-ES" w:eastAsia="es-ES"/>
        </w:rPr>
        <w:t>cooperativa</w:t>
      </w:r>
      <w:r w:rsidRPr="00C9552F">
        <w:rPr>
          <w:rFonts w:ascii="Arial" w:eastAsia="Times New Roman" w:hAnsi="Arial" w:cs="Arial"/>
          <w:lang w:val="es-ES" w:eastAsia="es-ES"/>
        </w:rPr>
        <w:t xml:space="preserve">, ratio de aprovisionamiento sobre ventas, ratio de rentabilidad </w:t>
      </w:r>
      <w:r w:rsidRPr="00C9552F">
        <w:rPr>
          <w:rFonts w:ascii="Arial" w:eastAsia="Times New Roman" w:hAnsi="Arial" w:cs="Arial"/>
          <w:i/>
          <w:lang w:val="es-ES" w:eastAsia="es-ES"/>
        </w:rPr>
        <w:t>cooperativa</w:t>
      </w:r>
      <w:r w:rsidRPr="00C9552F">
        <w:rPr>
          <w:rFonts w:ascii="Arial" w:eastAsia="Times New Roman" w:hAnsi="Arial" w:cs="Arial"/>
          <w:lang w:val="es-ES" w:eastAsia="es-ES"/>
        </w:rPr>
        <w:t xml:space="preserve"> sobre activos y ratio de valor añadido bruto </w:t>
      </w:r>
      <w:r w:rsidRPr="00C9552F">
        <w:rPr>
          <w:rFonts w:ascii="Arial" w:eastAsia="Times New Roman" w:hAnsi="Arial" w:cs="Arial"/>
          <w:i/>
          <w:lang w:val="es-ES" w:eastAsia="es-ES"/>
        </w:rPr>
        <w:t>cooperativo</w:t>
      </w:r>
      <w:r w:rsidRPr="00C9552F">
        <w:rPr>
          <w:rFonts w:ascii="Arial" w:eastAsia="Times New Roman" w:hAnsi="Arial" w:cs="Arial"/>
          <w:lang w:val="es-ES" w:eastAsia="es-ES"/>
        </w:rPr>
        <w:t xml:space="preserve"> sobre ventas.</w:t>
      </w:r>
    </w:p>
    <w:p w:rsidR="00BC7A7A" w:rsidRPr="00C9552F" w:rsidRDefault="000D79F9" w:rsidP="00C9552F">
      <w:pPr>
        <w:pStyle w:val="Prrafodelista"/>
        <w:spacing w:before="120" w:after="0" w:line="240" w:lineRule="auto"/>
        <w:ind w:left="0" w:firstLine="567"/>
        <w:contextualSpacing w:val="0"/>
        <w:jc w:val="both"/>
        <w:rPr>
          <w:rFonts w:ascii="Arial" w:eastAsia="Times New Roman" w:hAnsi="Arial" w:cs="Arial"/>
          <w:lang w:val="es-ES" w:eastAsia="es-ES"/>
        </w:rPr>
      </w:pPr>
      <w:r w:rsidRPr="00C9552F">
        <w:rPr>
          <w:rFonts w:ascii="Arial" w:eastAsia="Times New Roman" w:hAnsi="Arial" w:cs="Arial"/>
          <w:lang w:val="es-ES" w:eastAsia="es-ES"/>
        </w:rPr>
        <w:t>No obstante, hay que reconoce</w:t>
      </w:r>
      <w:r w:rsidR="00516F2C" w:rsidRPr="00C9552F">
        <w:rPr>
          <w:rFonts w:ascii="Arial" w:eastAsia="Times New Roman" w:hAnsi="Arial" w:cs="Arial"/>
          <w:lang w:val="es-ES" w:eastAsia="es-ES"/>
        </w:rPr>
        <w:t xml:space="preserve">r ciertas limitaciones, como </w:t>
      </w:r>
      <w:r w:rsidRPr="00C9552F">
        <w:rPr>
          <w:rFonts w:ascii="Arial" w:eastAsia="Times New Roman" w:hAnsi="Arial" w:cs="Arial"/>
          <w:lang w:val="es-ES" w:eastAsia="es-ES"/>
        </w:rPr>
        <w:t xml:space="preserve">haber acotado el estudio a un sector concreto, la insuficiente calidad de la información contable, la heterogeneidad </w:t>
      </w:r>
      <w:r w:rsidR="00516F2C" w:rsidRPr="00C9552F">
        <w:rPr>
          <w:rFonts w:ascii="Arial" w:eastAsia="Times New Roman" w:hAnsi="Arial" w:cs="Arial"/>
          <w:lang w:val="es-ES" w:eastAsia="es-ES"/>
        </w:rPr>
        <w:t xml:space="preserve">observada dentro de la muestra y </w:t>
      </w:r>
      <w:r w:rsidRPr="00C9552F">
        <w:rPr>
          <w:rFonts w:ascii="Arial" w:eastAsia="Times New Roman" w:hAnsi="Arial" w:cs="Arial"/>
          <w:lang w:val="es-ES" w:eastAsia="es-ES"/>
        </w:rPr>
        <w:t>el hecho de haber manejado datos contables de un solo ejercicio económico (2009). Estudios posteriores ampliados a otros sectores de actividad contribuirán sin duda a un mejor conocimiento de la realidad económico</w:t>
      </w:r>
      <w:r w:rsidR="008C043D" w:rsidRPr="00C9552F">
        <w:rPr>
          <w:rFonts w:ascii="Arial" w:eastAsia="Times New Roman" w:hAnsi="Arial" w:cs="Arial"/>
          <w:lang w:val="es-ES" w:eastAsia="es-ES"/>
        </w:rPr>
        <w:t>-</w:t>
      </w:r>
      <w:r w:rsidR="00A110EB" w:rsidRPr="00C9552F">
        <w:rPr>
          <w:rFonts w:ascii="Arial" w:eastAsia="Times New Roman" w:hAnsi="Arial" w:cs="Arial"/>
          <w:lang w:val="es-ES" w:eastAsia="es-ES"/>
        </w:rPr>
        <w:t xml:space="preserve">financiera </w:t>
      </w:r>
      <w:r w:rsidR="00BC7A7A" w:rsidRPr="00C9552F">
        <w:rPr>
          <w:rFonts w:ascii="Arial" w:eastAsia="Times New Roman" w:hAnsi="Arial" w:cs="Arial"/>
          <w:lang w:val="es-ES" w:eastAsia="es-ES"/>
        </w:rPr>
        <w:t>de las entidades de la Economía Social.</w:t>
      </w:r>
      <w:r w:rsidR="00436749" w:rsidRPr="00C9552F">
        <w:rPr>
          <w:rFonts w:ascii="Arial" w:eastAsia="Times New Roman" w:hAnsi="Arial" w:cs="Arial"/>
          <w:lang w:val="es-ES" w:eastAsia="es-ES"/>
        </w:rPr>
        <w:t xml:space="preserve"> </w:t>
      </w:r>
    </w:p>
    <w:p w:rsidR="00B425CD" w:rsidRPr="00C9552F" w:rsidRDefault="00B425CD" w:rsidP="007C5634">
      <w:pPr>
        <w:pStyle w:val="Prrafodelista"/>
        <w:spacing w:before="120" w:after="120" w:line="240" w:lineRule="auto"/>
        <w:ind w:left="0"/>
        <w:contextualSpacing w:val="0"/>
        <w:jc w:val="both"/>
        <w:rPr>
          <w:rFonts w:ascii="Arial" w:eastAsia="Times New Roman" w:hAnsi="Arial" w:cs="Arial"/>
          <w:lang w:val="es-ES" w:eastAsia="es-ES"/>
        </w:rPr>
      </w:pPr>
    </w:p>
    <w:p w:rsidR="00B425CD" w:rsidRPr="00C9552F" w:rsidRDefault="000D79F9" w:rsidP="007C5634">
      <w:pPr>
        <w:pStyle w:val="Textoindependiente"/>
        <w:rPr>
          <w:rFonts w:ascii="Arial" w:hAnsi="Arial" w:cs="Arial"/>
          <w:b/>
          <w:bCs/>
          <w:szCs w:val="22"/>
        </w:rPr>
      </w:pPr>
      <w:r w:rsidRPr="00C9552F">
        <w:rPr>
          <w:rFonts w:ascii="Arial" w:hAnsi="Arial" w:cs="Arial"/>
          <w:b/>
          <w:bCs/>
          <w:szCs w:val="22"/>
        </w:rPr>
        <w:t>Bibliografía</w:t>
      </w:r>
    </w:p>
    <w:p w:rsidR="00FE4A7B"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Asociación Española de Contabilidad y Administración de Empresas (AECA). (2009). </w:t>
      </w:r>
      <w:r w:rsidRPr="00C9552F">
        <w:rPr>
          <w:rFonts w:ascii="Arial" w:hAnsi="Arial" w:cs="Arial"/>
          <w:i/>
          <w:lang w:val="es-ES"/>
        </w:rPr>
        <w:t xml:space="preserve">Fondos propios en las cooperativas. </w:t>
      </w:r>
      <w:r w:rsidRPr="00C9552F">
        <w:rPr>
          <w:rFonts w:ascii="Arial" w:hAnsi="Arial" w:cs="Arial"/>
          <w:lang w:val="es-ES"/>
        </w:rPr>
        <w:t>Documentos Serie Contabilidad de Cooperativas, número 1. AECA</w:t>
      </w:r>
      <w:r w:rsidR="008C043D" w:rsidRPr="00C9552F">
        <w:rPr>
          <w:rFonts w:ascii="Arial" w:hAnsi="Arial" w:cs="Arial"/>
          <w:lang w:val="es-ES"/>
        </w:rPr>
        <w:t>,</w:t>
      </w:r>
      <w:r w:rsidR="00FE4A7B" w:rsidRPr="00C9552F">
        <w:rPr>
          <w:rFonts w:ascii="Arial" w:hAnsi="Arial" w:cs="Arial"/>
          <w:lang w:val="es-ES"/>
        </w:rPr>
        <w:t xml:space="preserve"> Madrid.</w:t>
      </w:r>
    </w:p>
    <w:p w:rsidR="00BC4349" w:rsidRPr="00C9552F" w:rsidRDefault="00BC4349" w:rsidP="007C5634">
      <w:pPr>
        <w:pStyle w:val="Prrafodelista"/>
        <w:spacing w:before="240" w:after="0" w:line="240" w:lineRule="auto"/>
        <w:ind w:left="0"/>
        <w:contextualSpacing w:val="0"/>
        <w:jc w:val="both"/>
        <w:rPr>
          <w:rFonts w:ascii="Arial" w:hAnsi="Arial" w:cs="Arial"/>
          <w:i/>
          <w:lang w:val="es-ES"/>
        </w:rPr>
      </w:pPr>
      <w:r w:rsidRPr="00C9552F">
        <w:rPr>
          <w:rFonts w:ascii="Arial" w:hAnsi="Arial" w:cs="Arial"/>
          <w:lang w:val="es-ES"/>
        </w:rPr>
        <w:t>Cooperativas Agroalimentarias (20</w:t>
      </w:r>
      <w:r w:rsidR="006A6C12" w:rsidRPr="00C9552F">
        <w:rPr>
          <w:rFonts w:ascii="Arial" w:hAnsi="Arial" w:cs="Arial"/>
          <w:lang w:val="es-ES"/>
        </w:rPr>
        <w:t>11</w:t>
      </w:r>
      <w:r w:rsidRPr="00C9552F">
        <w:rPr>
          <w:rFonts w:ascii="Arial" w:hAnsi="Arial" w:cs="Arial"/>
          <w:lang w:val="es-ES"/>
        </w:rPr>
        <w:t xml:space="preserve">). </w:t>
      </w:r>
      <w:r w:rsidR="000D79F9" w:rsidRPr="00C9552F">
        <w:rPr>
          <w:rFonts w:ascii="Arial" w:hAnsi="Arial" w:cs="Arial"/>
          <w:i/>
          <w:lang w:val="es-ES"/>
        </w:rPr>
        <w:t>OSCAE. Observatorio socioeconómico del cooperativismo agr</w:t>
      </w:r>
      <w:r w:rsidR="006A6C12" w:rsidRPr="00C9552F">
        <w:rPr>
          <w:rFonts w:ascii="Arial" w:hAnsi="Arial" w:cs="Arial"/>
          <w:i/>
          <w:lang w:val="es-ES"/>
        </w:rPr>
        <w:t>ario</w:t>
      </w:r>
      <w:r w:rsidR="000D79F9" w:rsidRPr="00C9552F">
        <w:rPr>
          <w:rFonts w:ascii="Arial" w:hAnsi="Arial" w:cs="Arial"/>
          <w:i/>
          <w:lang w:val="es-ES"/>
        </w:rPr>
        <w:t xml:space="preserve"> español.</w:t>
      </w:r>
      <w:r w:rsidR="006A6C12" w:rsidRPr="00C9552F">
        <w:rPr>
          <w:rFonts w:ascii="Arial" w:hAnsi="Arial" w:cs="Arial"/>
          <w:i/>
          <w:lang w:val="es-ES"/>
        </w:rPr>
        <w:t xml:space="preserve"> Disponible en: http://www.agro-alimentarias.coop/ficheros/doc/03580.pdf</w:t>
      </w:r>
    </w:p>
    <w:p w:rsidR="007D3702"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Encinas, B., Calatayud, E., García, G. y Martínez, A.M. (2010). “Las cooperativas hortofrutícolas frente a la crisis. La necesaria apuesta por la competitividad. Aspectos económico-financieros”. Comunicación presentada a las </w:t>
      </w:r>
      <w:r w:rsidRPr="00C9552F">
        <w:rPr>
          <w:rFonts w:ascii="Arial" w:hAnsi="Arial" w:cs="Arial"/>
          <w:i/>
          <w:lang w:val="es-ES"/>
        </w:rPr>
        <w:t xml:space="preserve">XIII Jornadas de Investigadores en Economía Social y Cooperativa CIRIEC-España, </w:t>
      </w:r>
      <w:r w:rsidRPr="00C9552F">
        <w:rPr>
          <w:rFonts w:ascii="Arial" w:hAnsi="Arial" w:cs="Arial"/>
          <w:lang w:val="es-ES"/>
        </w:rPr>
        <w:t>Zaragoza.</w:t>
      </w:r>
    </w:p>
    <w:p w:rsidR="00373A4F" w:rsidRPr="00C9552F" w:rsidRDefault="000D79F9" w:rsidP="007C5634">
      <w:pPr>
        <w:pStyle w:val="Prrafodelista"/>
        <w:spacing w:before="240" w:after="0" w:line="240" w:lineRule="auto"/>
        <w:ind w:left="0"/>
        <w:contextualSpacing w:val="0"/>
        <w:jc w:val="both"/>
        <w:rPr>
          <w:rFonts w:ascii="Arial" w:hAnsi="Arial" w:cs="Arial"/>
          <w:lang w:val="en-US"/>
        </w:rPr>
      </w:pPr>
      <w:r w:rsidRPr="00C9552F">
        <w:rPr>
          <w:rFonts w:ascii="Arial" w:hAnsi="Arial" w:cs="Arial"/>
          <w:lang w:val="en-US"/>
        </w:rPr>
        <w:t xml:space="preserve">Galdeano, E. (2006). “Productivity and efficiency analysis of horticultural co-operatives”. </w:t>
      </w:r>
      <w:r w:rsidRPr="00C9552F">
        <w:rPr>
          <w:rFonts w:ascii="Arial" w:hAnsi="Arial" w:cs="Arial"/>
          <w:i/>
          <w:lang w:val="en-US"/>
        </w:rPr>
        <w:t>Spanish Journal of Agricultural Research</w:t>
      </w:r>
      <w:r w:rsidRPr="00C9552F">
        <w:rPr>
          <w:rFonts w:ascii="Arial" w:hAnsi="Arial" w:cs="Arial"/>
          <w:lang w:val="en-US"/>
        </w:rPr>
        <w:t>, 4(3): 191-201.</w:t>
      </w:r>
    </w:p>
    <w:p w:rsidR="00E3516A" w:rsidRPr="00C9552F" w:rsidRDefault="000D79F9" w:rsidP="007C5634">
      <w:pPr>
        <w:pStyle w:val="Prrafodelista"/>
        <w:spacing w:before="240" w:after="0" w:line="240" w:lineRule="auto"/>
        <w:ind w:left="0"/>
        <w:contextualSpacing w:val="0"/>
        <w:jc w:val="both"/>
        <w:rPr>
          <w:rFonts w:ascii="Arial" w:hAnsi="Arial" w:cs="Arial"/>
          <w:lang w:val="es-ES"/>
        </w:rPr>
      </w:pPr>
      <w:proofErr w:type="gramStart"/>
      <w:r w:rsidRPr="00831A02">
        <w:rPr>
          <w:rFonts w:ascii="Arial" w:hAnsi="Arial" w:cs="Arial"/>
          <w:lang w:val="en-US"/>
        </w:rPr>
        <w:t xml:space="preserve">Gómez-Limón, J.A., </w:t>
      </w:r>
      <w:proofErr w:type="spellStart"/>
      <w:r w:rsidRPr="00831A02">
        <w:rPr>
          <w:rFonts w:ascii="Arial" w:hAnsi="Arial" w:cs="Arial"/>
          <w:lang w:val="en-US"/>
        </w:rPr>
        <w:t>Casquet</w:t>
      </w:r>
      <w:proofErr w:type="spellEnd"/>
      <w:r w:rsidRPr="00831A02">
        <w:rPr>
          <w:rFonts w:ascii="Arial" w:hAnsi="Arial" w:cs="Arial"/>
          <w:lang w:val="en-US"/>
        </w:rPr>
        <w:t xml:space="preserve">, E. y </w:t>
      </w:r>
      <w:proofErr w:type="spellStart"/>
      <w:r w:rsidRPr="00831A02">
        <w:rPr>
          <w:rFonts w:ascii="Arial" w:hAnsi="Arial" w:cs="Arial"/>
          <w:lang w:val="en-US"/>
        </w:rPr>
        <w:t>Atance</w:t>
      </w:r>
      <w:proofErr w:type="spellEnd"/>
      <w:r w:rsidRPr="00831A02">
        <w:rPr>
          <w:rFonts w:ascii="Arial" w:hAnsi="Arial" w:cs="Arial"/>
          <w:lang w:val="en-US"/>
        </w:rPr>
        <w:t>, I. (2003).</w:t>
      </w:r>
      <w:proofErr w:type="gramEnd"/>
      <w:r w:rsidRPr="00831A02">
        <w:rPr>
          <w:rFonts w:ascii="Arial" w:hAnsi="Arial" w:cs="Arial"/>
          <w:lang w:val="en-US"/>
        </w:rPr>
        <w:t xml:space="preserve"> </w:t>
      </w:r>
      <w:r w:rsidRPr="00C9552F">
        <w:rPr>
          <w:rFonts w:ascii="Arial" w:hAnsi="Arial" w:cs="Arial"/>
          <w:lang w:val="es-ES"/>
        </w:rPr>
        <w:t xml:space="preserve">“Análisis económico-financiero de las cooperativas agrarias en Castilla y León”. </w:t>
      </w:r>
      <w:r w:rsidRPr="00C9552F">
        <w:rPr>
          <w:rFonts w:ascii="Arial" w:hAnsi="Arial" w:cs="Arial"/>
          <w:i/>
          <w:lang w:val="es-ES"/>
        </w:rPr>
        <w:t xml:space="preserve">CIRIEC-Revista de la economía pública, social y cooperativa, </w:t>
      </w:r>
      <w:r w:rsidRPr="00C9552F">
        <w:rPr>
          <w:rFonts w:ascii="Arial" w:hAnsi="Arial" w:cs="Arial"/>
          <w:lang w:val="es-ES"/>
        </w:rPr>
        <w:t>46: 151-189.</w:t>
      </w:r>
    </w:p>
    <w:p w:rsidR="008222D0" w:rsidRPr="00C9552F" w:rsidRDefault="000D79F9" w:rsidP="007C5634">
      <w:pPr>
        <w:pStyle w:val="Prrafodelista"/>
        <w:spacing w:before="240" w:after="0" w:line="240" w:lineRule="auto"/>
        <w:ind w:left="0"/>
        <w:contextualSpacing w:val="0"/>
        <w:jc w:val="both"/>
        <w:rPr>
          <w:rFonts w:ascii="Arial" w:hAnsi="Arial" w:cs="Arial"/>
          <w:i/>
          <w:lang w:val="es-ES"/>
        </w:rPr>
      </w:pPr>
      <w:r w:rsidRPr="00C9552F">
        <w:rPr>
          <w:rFonts w:ascii="Arial" w:hAnsi="Arial" w:cs="Arial"/>
          <w:lang w:val="es-ES"/>
        </w:rPr>
        <w:t xml:space="preserve">Guzmán, I., Arcas, N. y García, D. (2006). “La eficiencia técnica como medida de rendimiento de las cooperativas agrarias”. </w:t>
      </w:r>
      <w:r w:rsidRPr="00C9552F">
        <w:rPr>
          <w:rFonts w:ascii="Arial" w:hAnsi="Arial" w:cs="Arial"/>
          <w:i/>
          <w:lang w:val="es-ES"/>
        </w:rPr>
        <w:t xml:space="preserve">CIRIEC-España Revista de Economía Pública, Social y Cooperativa, </w:t>
      </w:r>
      <w:r w:rsidRPr="00C9552F">
        <w:rPr>
          <w:rFonts w:ascii="Arial" w:hAnsi="Arial" w:cs="Arial"/>
          <w:lang w:val="es-ES"/>
        </w:rPr>
        <w:t>55: 289-311.</w:t>
      </w:r>
      <w:r w:rsidRPr="00C9552F">
        <w:rPr>
          <w:rFonts w:ascii="Arial" w:hAnsi="Arial" w:cs="Arial"/>
          <w:i/>
          <w:lang w:val="es-ES"/>
        </w:rPr>
        <w:t xml:space="preserve"> </w:t>
      </w:r>
    </w:p>
    <w:p w:rsidR="00BC7A7A" w:rsidRPr="00C9552F" w:rsidRDefault="000D79F9" w:rsidP="007C5634">
      <w:pPr>
        <w:pStyle w:val="Prrafodelista"/>
        <w:spacing w:before="240" w:after="0" w:line="240" w:lineRule="auto"/>
        <w:ind w:left="0"/>
        <w:contextualSpacing w:val="0"/>
        <w:jc w:val="both"/>
        <w:rPr>
          <w:rFonts w:ascii="Arial" w:hAnsi="Arial" w:cs="Arial"/>
          <w:lang w:val="es-ES"/>
        </w:rPr>
      </w:pPr>
      <w:proofErr w:type="spellStart"/>
      <w:r w:rsidRPr="00831A02">
        <w:rPr>
          <w:rFonts w:ascii="Arial" w:hAnsi="Arial" w:cs="Arial"/>
          <w:lang w:val="es-ES"/>
        </w:rPr>
        <w:t>Levine</w:t>
      </w:r>
      <w:proofErr w:type="spellEnd"/>
      <w:r w:rsidRPr="00831A02">
        <w:rPr>
          <w:rFonts w:ascii="Arial" w:hAnsi="Arial" w:cs="Arial"/>
          <w:lang w:val="es-ES"/>
        </w:rPr>
        <w:t xml:space="preserve">, R. (2005). </w:t>
      </w:r>
      <w:r w:rsidR="00D90B90" w:rsidRPr="00C9552F">
        <w:rPr>
          <w:rFonts w:ascii="Arial" w:hAnsi="Arial" w:cs="Arial"/>
          <w:lang w:val="en-US"/>
        </w:rPr>
        <w:t>“</w:t>
      </w:r>
      <w:r w:rsidR="00BC7A7A" w:rsidRPr="00C9552F">
        <w:rPr>
          <w:rFonts w:ascii="Arial" w:hAnsi="Arial" w:cs="Arial"/>
          <w:lang w:val="en-US"/>
        </w:rPr>
        <w:t>Finance and growth: theory and evidence</w:t>
      </w:r>
      <w:r w:rsidR="00D90B90" w:rsidRPr="00C9552F">
        <w:rPr>
          <w:rFonts w:ascii="Arial" w:hAnsi="Arial" w:cs="Arial"/>
          <w:lang w:val="en-US"/>
        </w:rPr>
        <w:t>”</w:t>
      </w:r>
      <w:r w:rsidR="00BC7A7A" w:rsidRPr="00C9552F">
        <w:rPr>
          <w:rFonts w:ascii="Arial" w:hAnsi="Arial" w:cs="Arial"/>
          <w:lang w:val="en-US"/>
        </w:rPr>
        <w:t>. En Aghion, P.</w:t>
      </w:r>
      <w:r w:rsidR="00556BFF" w:rsidRPr="00C9552F">
        <w:rPr>
          <w:rFonts w:ascii="Arial" w:hAnsi="Arial" w:cs="Arial"/>
          <w:lang w:val="en-US"/>
        </w:rPr>
        <w:t xml:space="preserve"> y</w:t>
      </w:r>
      <w:r w:rsidR="00BC7A7A" w:rsidRPr="00C9552F">
        <w:rPr>
          <w:rFonts w:ascii="Arial" w:hAnsi="Arial" w:cs="Arial"/>
          <w:lang w:val="en-US"/>
        </w:rPr>
        <w:t xml:space="preserve"> Durlauf, S. (Eds.): </w:t>
      </w:r>
      <w:r w:rsidR="00BC7A7A" w:rsidRPr="00C9552F">
        <w:rPr>
          <w:rFonts w:ascii="Arial" w:hAnsi="Arial" w:cs="Arial"/>
          <w:i/>
          <w:lang w:val="en-US"/>
        </w:rPr>
        <w:t>The Handbook of Economic Growth</w:t>
      </w:r>
      <w:r w:rsidR="00BC7A7A" w:rsidRPr="00C9552F">
        <w:rPr>
          <w:rFonts w:ascii="Arial" w:hAnsi="Arial" w:cs="Arial"/>
          <w:lang w:val="en-US"/>
        </w:rPr>
        <w:t>,</w:t>
      </w:r>
      <w:r w:rsidR="008C043D" w:rsidRPr="00C9552F">
        <w:rPr>
          <w:rFonts w:ascii="Arial" w:hAnsi="Arial" w:cs="Arial"/>
          <w:lang w:val="en-US"/>
        </w:rPr>
        <w:t xml:space="preserve"> </w:t>
      </w:r>
      <w:r w:rsidR="009058BF" w:rsidRPr="00C9552F">
        <w:rPr>
          <w:rFonts w:ascii="Arial" w:hAnsi="Arial" w:cs="Arial"/>
          <w:lang w:val="en-US"/>
        </w:rPr>
        <w:t>Amsterdam, The Netherlands.</w:t>
      </w:r>
      <w:r w:rsidR="00684B4B" w:rsidRPr="00C9552F">
        <w:rPr>
          <w:rFonts w:ascii="Arial" w:hAnsi="Arial" w:cs="Arial"/>
          <w:lang w:val="en-US"/>
        </w:rPr>
        <w:t xml:space="preserve"> </w:t>
      </w:r>
      <w:r w:rsidRPr="00C9552F">
        <w:rPr>
          <w:rFonts w:ascii="Arial" w:hAnsi="Arial" w:cs="Arial"/>
          <w:lang w:val="es-ES"/>
        </w:rPr>
        <w:t>865–934.</w:t>
      </w:r>
    </w:p>
    <w:p w:rsidR="006266FA"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Moyano, J. y Fidalgo, F.A. (2001). “El impacto de la dimensión en la sociedad cooperativa agraria. Una aplicación al cooperativismo oleícola”. </w:t>
      </w:r>
      <w:r w:rsidRPr="00C9552F">
        <w:rPr>
          <w:rFonts w:ascii="Arial" w:hAnsi="Arial" w:cs="Arial"/>
          <w:i/>
          <w:lang w:val="es-ES"/>
        </w:rPr>
        <w:t>REVESCO Revista de Estudios Cooperativos</w:t>
      </w:r>
      <w:r w:rsidRPr="00C9552F">
        <w:rPr>
          <w:rFonts w:ascii="Arial" w:hAnsi="Arial" w:cs="Arial"/>
          <w:lang w:val="es-ES"/>
        </w:rPr>
        <w:t>, 73: 95-121.</w:t>
      </w:r>
    </w:p>
    <w:p w:rsidR="002737AB"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lastRenderedPageBreak/>
        <w:t xml:space="preserve">Moyano, J., Puig, F. y Bruque, S. (2008). “Los determinantes de la competitividad en las cooperativas”. </w:t>
      </w:r>
      <w:r w:rsidRPr="00C9552F">
        <w:rPr>
          <w:rFonts w:ascii="Arial" w:hAnsi="Arial" w:cs="Arial"/>
          <w:i/>
          <w:lang w:val="es-ES"/>
        </w:rPr>
        <w:t>CIRIEC-España Revista de Economía Pública, Social y Cooperativa,</w:t>
      </w:r>
      <w:r w:rsidRPr="00C9552F">
        <w:rPr>
          <w:rFonts w:ascii="Arial" w:hAnsi="Arial" w:cs="Arial"/>
          <w:lang w:val="es-ES"/>
        </w:rPr>
        <w:t xml:space="preserve"> 61: 233-249.</w:t>
      </w:r>
    </w:p>
    <w:p w:rsidR="008E018D" w:rsidRPr="00C9552F" w:rsidRDefault="008E018D"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Prieto, J.A. </w:t>
      </w:r>
      <w:r w:rsidR="00556BFF" w:rsidRPr="00C9552F">
        <w:rPr>
          <w:rFonts w:ascii="Arial" w:hAnsi="Arial" w:cs="Arial"/>
          <w:lang w:val="es-ES"/>
        </w:rPr>
        <w:t>(</w:t>
      </w:r>
      <w:r w:rsidRPr="00C9552F">
        <w:rPr>
          <w:rFonts w:ascii="Arial" w:hAnsi="Arial" w:cs="Arial"/>
          <w:lang w:val="es-ES"/>
        </w:rPr>
        <w:t>2001</w:t>
      </w:r>
      <w:r w:rsidR="00556BFF" w:rsidRPr="00C9552F">
        <w:rPr>
          <w:rFonts w:ascii="Arial" w:hAnsi="Arial" w:cs="Arial"/>
          <w:lang w:val="es-ES"/>
        </w:rPr>
        <w:t>)</w:t>
      </w:r>
      <w:r w:rsidRPr="00C9552F">
        <w:rPr>
          <w:rFonts w:ascii="Arial" w:hAnsi="Arial" w:cs="Arial"/>
          <w:lang w:val="es-ES"/>
        </w:rPr>
        <w:t xml:space="preserve">. </w:t>
      </w:r>
      <w:r w:rsidR="00556BFF" w:rsidRPr="00C9552F">
        <w:rPr>
          <w:rFonts w:ascii="Arial" w:hAnsi="Arial" w:cs="Arial"/>
          <w:lang w:val="es-ES"/>
        </w:rPr>
        <w:t>“</w:t>
      </w:r>
      <w:r w:rsidRPr="00C9552F">
        <w:rPr>
          <w:rFonts w:ascii="Arial" w:hAnsi="Arial" w:cs="Arial"/>
          <w:lang w:val="es-ES"/>
        </w:rPr>
        <w:t>La participación de los socios en los procesos de producción y distribución de la sociedad cooperativa: los socios</w:t>
      </w:r>
      <w:r w:rsidR="000D79F9" w:rsidRPr="00C9552F">
        <w:rPr>
          <w:rFonts w:ascii="Arial" w:hAnsi="Arial" w:cs="Arial"/>
          <w:lang w:val="es-ES"/>
        </w:rPr>
        <w:t>-consumidores de bienes y/o servicios”. En: Moyano, J. (</w:t>
      </w:r>
      <w:r w:rsidR="008C043D" w:rsidRPr="00C9552F">
        <w:rPr>
          <w:rFonts w:ascii="Arial" w:hAnsi="Arial" w:cs="Arial"/>
          <w:lang w:val="es-ES"/>
        </w:rPr>
        <w:t>Ed.</w:t>
      </w:r>
      <w:r w:rsidR="00471F11" w:rsidRPr="00C9552F">
        <w:rPr>
          <w:rFonts w:ascii="Arial" w:hAnsi="Arial" w:cs="Arial"/>
          <w:lang w:val="es-ES"/>
        </w:rPr>
        <w:t xml:space="preserve">): </w:t>
      </w:r>
      <w:r w:rsidRPr="00C9552F">
        <w:rPr>
          <w:rFonts w:ascii="Arial" w:hAnsi="Arial" w:cs="Arial"/>
          <w:i/>
          <w:lang w:val="es-ES"/>
        </w:rPr>
        <w:t>La sociedad cooperativa: un análisis de sus características societarias y empresariales.</w:t>
      </w:r>
      <w:r w:rsidRPr="00C9552F">
        <w:rPr>
          <w:rFonts w:ascii="Arial" w:hAnsi="Arial" w:cs="Arial"/>
          <w:lang w:val="es-ES"/>
        </w:rPr>
        <w:t xml:space="preserve"> Servicio de Publicaciones de la Universidad de Jaén</w:t>
      </w:r>
      <w:r w:rsidR="008C043D" w:rsidRPr="00C9552F">
        <w:rPr>
          <w:rFonts w:ascii="Arial" w:hAnsi="Arial" w:cs="Arial"/>
          <w:lang w:val="es-ES"/>
        </w:rPr>
        <w:t>, Jaén</w:t>
      </w:r>
      <w:r w:rsidR="00684B4B" w:rsidRPr="00C9552F">
        <w:rPr>
          <w:rFonts w:ascii="Arial" w:hAnsi="Arial" w:cs="Arial"/>
          <w:lang w:val="es-ES"/>
        </w:rPr>
        <w:t xml:space="preserve">: </w:t>
      </w:r>
      <w:r w:rsidR="0053328F" w:rsidRPr="00C9552F">
        <w:rPr>
          <w:rFonts w:ascii="Arial" w:hAnsi="Arial" w:cs="Arial"/>
          <w:lang w:val="es-ES"/>
        </w:rPr>
        <w:t>1</w:t>
      </w:r>
      <w:r w:rsidRPr="00C9552F">
        <w:rPr>
          <w:rFonts w:ascii="Arial" w:hAnsi="Arial" w:cs="Arial"/>
          <w:lang w:val="es-ES"/>
        </w:rPr>
        <w:t>64-181.</w:t>
      </w:r>
    </w:p>
    <w:p w:rsidR="0082017B"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Sabaté, P., Sabi, X. y Saladrigues, R. (2000). “Cooperativas versus sociedades mercantiles. El sector frutero en Lleida”. </w:t>
      </w:r>
      <w:r w:rsidRPr="00C9552F">
        <w:rPr>
          <w:rFonts w:ascii="Arial" w:hAnsi="Arial" w:cs="Arial"/>
          <w:i/>
          <w:lang w:val="es-ES"/>
        </w:rPr>
        <w:t>CIRIEC-España Revista de Economía Pública, Social y Cooperativa,</w:t>
      </w:r>
      <w:r w:rsidRPr="00C9552F">
        <w:rPr>
          <w:rFonts w:ascii="Arial" w:hAnsi="Arial" w:cs="Arial"/>
          <w:lang w:val="es-ES"/>
        </w:rPr>
        <w:t xml:space="preserve"> 34: 51-70.</w:t>
      </w:r>
    </w:p>
    <w:p w:rsidR="0082017B"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Sabaté, P. (2002). “Análisis comparativo de la eficiencia de las cooperativas fruteras de la provincia de Lleida”. </w:t>
      </w:r>
      <w:r w:rsidRPr="00C9552F">
        <w:rPr>
          <w:rFonts w:ascii="Arial" w:hAnsi="Arial" w:cs="Arial"/>
          <w:i/>
          <w:lang w:val="es-ES"/>
        </w:rPr>
        <w:t>CIRIEC-España Revista de Economía Pública, Social y Cooperativa,</w:t>
      </w:r>
      <w:r w:rsidRPr="00C9552F">
        <w:rPr>
          <w:rFonts w:ascii="Arial" w:hAnsi="Arial" w:cs="Arial"/>
          <w:lang w:val="es-ES"/>
        </w:rPr>
        <w:t xml:space="preserve"> 41: 163-182.</w:t>
      </w:r>
    </w:p>
    <w:p w:rsidR="002E0198"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Salazar, I. y Galve, C. (2011). </w:t>
      </w:r>
      <w:r w:rsidRPr="00C9552F">
        <w:rPr>
          <w:rFonts w:ascii="Arial" w:hAnsi="Arial" w:cs="Arial"/>
          <w:lang w:val="en-US"/>
        </w:rPr>
        <w:t>“</w:t>
      </w:r>
      <w:r w:rsidRPr="00C9552F">
        <w:rPr>
          <w:rFonts w:ascii="Arial" w:hAnsi="Arial" w:cs="Arial"/>
          <w:bCs/>
          <w:lang w:val="en-US"/>
        </w:rPr>
        <w:t xml:space="preserve">The effect of organizational form and vertical integration on efficiency: An empirical comparison between cooperatives and investor owned firm”. </w:t>
      </w:r>
      <w:r w:rsidRPr="00C9552F">
        <w:rPr>
          <w:rFonts w:ascii="Arial" w:hAnsi="Arial" w:cs="Arial"/>
          <w:bCs/>
          <w:i/>
          <w:lang w:val="es-ES"/>
        </w:rPr>
        <w:t>African Journal of Business Management,</w:t>
      </w:r>
      <w:r w:rsidRPr="00C9552F">
        <w:rPr>
          <w:rFonts w:ascii="Arial" w:hAnsi="Arial" w:cs="Arial"/>
          <w:bCs/>
          <w:lang w:val="es-ES"/>
        </w:rPr>
        <w:t xml:space="preserve"> 5(1): 168-178. </w:t>
      </w:r>
    </w:p>
    <w:p w:rsidR="004B1323"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Segura, J. (2008). “Enseñanzas para los supervisores de la crisis financiera actual”. Comunicación presentada al </w:t>
      </w:r>
      <w:r w:rsidRPr="00C9552F">
        <w:rPr>
          <w:rFonts w:ascii="Arial" w:hAnsi="Arial" w:cs="Arial"/>
          <w:i/>
          <w:lang w:val="es-ES"/>
        </w:rPr>
        <w:t>VIII Congreso Nacional de Economía</w:t>
      </w:r>
      <w:r w:rsidRPr="00C9552F">
        <w:rPr>
          <w:rFonts w:ascii="Arial" w:hAnsi="Arial" w:cs="Arial"/>
          <w:lang w:val="es-ES"/>
        </w:rPr>
        <w:t>, Zaragoza.</w:t>
      </w:r>
    </w:p>
    <w:p w:rsidR="00D35BD1" w:rsidRPr="00C9552F" w:rsidRDefault="000D79F9" w:rsidP="007C5634">
      <w:pPr>
        <w:pStyle w:val="Prrafodelista"/>
        <w:spacing w:before="240" w:after="0" w:line="240" w:lineRule="auto"/>
        <w:ind w:left="0"/>
        <w:contextualSpacing w:val="0"/>
        <w:jc w:val="both"/>
        <w:rPr>
          <w:rFonts w:ascii="Arial" w:hAnsi="Arial" w:cs="Arial"/>
          <w:lang w:val="es-ES"/>
        </w:rPr>
      </w:pPr>
      <w:r w:rsidRPr="00C9552F">
        <w:rPr>
          <w:rFonts w:ascii="Arial" w:hAnsi="Arial" w:cs="Arial"/>
          <w:lang w:val="es-ES"/>
        </w:rPr>
        <w:t xml:space="preserve">Vargas, A. y García, E. (2003). ”La medición del desempeño de las sociedades cooperativas agrarias. Perspectiva de los directores-gerentes de las provincias de Huelva y Jaén”. </w:t>
      </w:r>
      <w:r w:rsidRPr="00C9552F">
        <w:rPr>
          <w:rFonts w:ascii="Arial" w:hAnsi="Arial" w:cs="Arial"/>
          <w:i/>
          <w:lang w:val="es-ES"/>
        </w:rPr>
        <w:t>CIRIEC-España Revista de Economía Pública, Social y Cooperativa,</w:t>
      </w:r>
      <w:r w:rsidRPr="00C9552F">
        <w:rPr>
          <w:rFonts w:ascii="Arial" w:hAnsi="Arial" w:cs="Arial"/>
          <w:lang w:val="es-ES"/>
        </w:rPr>
        <w:t xml:space="preserve"> 46: 85-116.</w:t>
      </w:r>
    </w:p>
    <w:p w:rsidR="00B425CD" w:rsidRPr="00C9552F" w:rsidRDefault="000D79F9" w:rsidP="007C5634">
      <w:pPr>
        <w:pStyle w:val="Prrafodelista"/>
        <w:spacing w:before="240" w:after="0" w:line="240" w:lineRule="auto"/>
        <w:ind w:left="0"/>
        <w:contextualSpacing w:val="0"/>
        <w:jc w:val="both"/>
        <w:rPr>
          <w:rFonts w:ascii="Arial" w:hAnsi="Arial" w:cs="Arial"/>
        </w:rPr>
      </w:pPr>
      <w:r w:rsidRPr="00C9552F">
        <w:rPr>
          <w:rFonts w:ascii="Arial" w:hAnsi="Arial" w:cs="Arial"/>
          <w:lang w:val="es-ES"/>
        </w:rPr>
        <w:t xml:space="preserve">Vidal, F., Segura, B. y Del Campo, F.J. (2000). “Eficiencia de las cooperativas de comercialización hortofrutícola de la Comunidad Valenciana”. </w:t>
      </w:r>
      <w:r w:rsidRPr="00C9552F">
        <w:rPr>
          <w:rFonts w:ascii="Arial" w:hAnsi="Arial" w:cs="Arial"/>
          <w:i/>
          <w:lang w:val="es-ES"/>
        </w:rPr>
        <w:t>Revista de Estudios Agrosociales y Pesqueros</w:t>
      </w:r>
      <w:r w:rsidRPr="00C9552F">
        <w:rPr>
          <w:rFonts w:ascii="Arial" w:hAnsi="Arial" w:cs="Arial"/>
          <w:lang w:val="es-ES"/>
        </w:rPr>
        <w:t>, 188: 205-224.</w:t>
      </w:r>
    </w:p>
    <w:sectPr w:rsidR="00B425CD" w:rsidRPr="00C9552F" w:rsidSect="00ED5CFC">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7E" w:rsidRDefault="0031177E">
      <w:r>
        <w:separator/>
      </w:r>
    </w:p>
  </w:endnote>
  <w:endnote w:type="continuationSeparator" w:id="0">
    <w:p w:rsidR="0031177E" w:rsidRDefault="0031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wis721 Cn BT">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25" w:rsidRDefault="0011264D">
    <w:pPr>
      <w:pStyle w:val="Piedepgina"/>
      <w:jc w:val="center"/>
      <w:rPr>
        <w:sz w:val="18"/>
      </w:rPr>
    </w:pPr>
    <w:r>
      <w:rPr>
        <w:rStyle w:val="Nmerodepgina"/>
      </w:rPr>
      <w:fldChar w:fldCharType="begin"/>
    </w:r>
    <w:r w:rsidR="00964B25">
      <w:rPr>
        <w:rStyle w:val="Nmerodepgina"/>
      </w:rPr>
      <w:instrText xml:space="preserve"> PAGE </w:instrText>
    </w:r>
    <w:r>
      <w:rPr>
        <w:rStyle w:val="Nmerodepgina"/>
      </w:rPr>
      <w:fldChar w:fldCharType="separate"/>
    </w:r>
    <w:r w:rsidR="00831A02">
      <w:rPr>
        <w:rStyle w:val="Nmerodepgina"/>
        <w:noProof/>
      </w:rPr>
      <w:t>8</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25" w:rsidRDefault="0011264D">
    <w:pPr>
      <w:pStyle w:val="Piedepgina"/>
      <w:jc w:val="center"/>
      <w:rPr>
        <w:rStyle w:val="Nmerodepgina"/>
      </w:rPr>
    </w:pPr>
    <w:r>
      <w:rPr>
        <w:rStyle w:val="Nmerodepgina"/>
      </w:rPr>
      <w:fldChar w:fldCharType="begin"/>
    </w:r>
    <w:r w:rsidR="00964B25">
      <w:rPr>
        <w:rStyle w:val="Nmerodepgina"/>
      </w:rPr>
      <w:instrText xml:space="preserve"> PAGE </w:instrText>
    </w:r>
    <w:r>
      <w:rPr>
        <w:rStyle w:val="Nmerodepgina"/>
      </w:rPr>
      <w:fldChar w:fldCharType="separate"/>
    </w:r>
    <w:r w:rsidR="00831A02">
      <w:rPr>
        <w:rStyle w:val="Nmerodepgina"/>
        <w:noProof/>
      </w:rPr>
      <w:t>9</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7E" w:rsidRDefault="0031177E">
      <w:r>
        <w:separator/>
      </w:r>
    </w:p>
  </w:footnote>
  <w:footnote w:type="continuationSeparator" w:id="0">
    <w:p w:rsidR="0031177E" w:rsidRDefault="0031177E">
      <w:r>
        <w:continuationSeparator/>
      </w:r>
    </w:p>
  </w:footnote>
  <w:footnote w:id="1">
    <w:p w:rsidR="00964B25" w:rsidRPr="006A3E4C" w:rsidRDefault="00964B25">
      <w:pPr>
        <w:pStyle w:val="Textonotapie"/>
        <w:rPr>
          <w:lang w:val="es-ES_tradnl"/>
        </w:rPr>
      </w:pPr>
      <w:r w:rsidRPr="005C066B">
        <w:rPr>
          <w:rStyle w:val="Refdenotaalpie"/>
          <w:sz w:val="20"/>
        </w:rPr>
        <w:footnoteRef/>
      </w:r>
      <w:r w:rsidRPr="005C066B">
        <w:rPr>
          <w:sz w:val="20"/>
        </w:rPr>
        <w:t xml:space="preserve"> Se puede consultar una revisión bibliográfica de estos trabajos en Galdeano, 2006.</w:t>
      </w:r>
    </w:p>
  </w:footnote>
  <w:footnote w:id="2">
    <w:p w:rsidR="00C9552F" w:rsidRDefault="00C9552F" w:rsidP="00C9552F">
      <w:pPr>
        <w:pStyle w:val="Textonotapie"/>
        <w:ind w:left="142" w:hanging="142"/>
        <w:jc w:val="both"/>
      </w:pPr>
      <w:r w:rsidRPr="005C066B">
        <w:rPr>
          <w:rStyle w:val="Refdenotaalpie"/>
          <w:sz w:val="20"/>
        </w:rPr>
        <w:footnoteRef/>
      </w:r>
      <w:r w:rsidRPr="005C066B">
        <w:rPr>
          <w:sz w:val="20"/>
        </w:rPr>
        <w:t xml:space="preserve"> Recomendación de la Comisión, de 6 de mayo de 2003, sobre la definición de microempresas, pequeñas y medianas empresas. Diario Oficial nº L124, de 20 de mayo de 2003</w:t>
      </w:r>
      <w:r>
        <w:rPr>
          <w:sz w:val="20"/>
        </w:rPr>
        <w:t>;</w:t>
      </w:r>
      <w:r w:rsidRPr="005C066B">
        <w:rPr>
          <w:sz w:val="20"/>
        </w:rPr>
        <w:t xml:space="preserve"> </w:t>
      </w:r>
      <w:r>
        <w:rPr>
          <w:sz w:val="20"/>
        </w:rPr>
        <w:t xml:space="preserve">pág. </w:t>
      </w:r>
      <w:r w:rsidRPr="005C066B">
        <w:rPr>
          <w:sz w:val="20"/>
        </w:rPr>
        <w:t>0036-0041.</w:t>
      </w:r>
    </w:p>
  </w:footnote>
  <w:footnote w:id="3">
    <w:p w:rsidR="003527AA" w:rsidRDefault="00964B25">
      <w:pPr>
        <w:pStyle w:val="Textonotapie"/>
        <w:ind w:left="113" w:hanging="113"/>
        <w:jc w:val="both"/>
        <w:rPr>
          <w:sz w:val="20"/>
        </w:rPr>
      </w:pPr>
      <w:r>
        <w:rPr>
          <w:rStyle w:val="Refdenotaalpie"/>
        </w:rPr>
        <w:footnoteRef/>
      </w:r>
      <w:r>
        <w:t xml:space="preserve"> </w:t>
      </w:r>
      <w:r w:rsidRPr="005C066B">
        <w:rPr>
          <w:sz w:val="20"/>
        </w:rPr>
        <w:t>Sería preciso agregar al excedente contable de explotación las liquidaciones practicadas a los socios y restarle a continuación el precio medio de mercado de los productos comercializados por la cooperativa, obteniendo así el diferencial de precios pagados por la cooperativa respecto al mercado.</w:t>
      </w:r>
    </w:p>
  </w:footnote>
  <w:footnote w:id="4">
    <w:p w:rsidR="003527AA" w:rsidRDefault="00964B25">
      <w:pPr>
        <w:pStyle w:val="Textonotapie"/>
        <w:ind w:left="113" w:hanging="113"/>
        <w:jc w:val="both"/>
        <w:rPr>
          <w:lang w:val="es-ES_tradnl"/>
        </w:rPr>
      </w:pPr>
      <w:r w:rsidRPr="005C066B">
        <w:rPr>
          <w:rStyle w:val="Refdenotaalpie"/>
          <w:sz w:val="20"/>
        </w:rPr>
        <w:footnoteRef/>
      </w:r>
      <w:r w:rsidRPr="005C066B">
        <w:rPr>
          <w:sz w:val="20"/>
        </w:rPr>
        <w:t xml:space="preserve"> Orden EHA/3360/2010, de 21 de diciembre, por la que se aprueban las </w:t>
      </w:r>
      <w:r w:rsidRPr="005C066B">
        <w:rPr>
          <w:sz w:val="20"/>
          <w:lang w:val="es-ES_tradnl"/>
        </w:rPr>
        <w:t>Normas sobre los Aspectos Contables de las Sociedades Cooperativas. Norma Octava “Adquisiciones de bienes a los socios”.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7BD3"/>
    <w:multiLevelType w:val="hybridMultilevel"/>
    <w:tmpl w:val="D6EA63CC"/>
    <w:lvl w:ilvl="0" w:tplc="A606D3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514E72"/>
    <w:multiLevelType w:val="multilevel"/>
    <w:tmpl w:val="7D4AFE78"/>
    <w:lvl w:ilvl="0">
      <w:start w:val="1"/>
      <w:numFmt w:val="decimal"/>
      <w:pStyle w:val="Ttulo1"/>
      <w:suff w:val="space"/>
      <w:lvlText w:val="%1."/>
      <w:lvlJc w:val="left"/>
      <w:pPr>
        <w:ind w:left="0" w:firstLine="0"/>
      </w:pPr>
      <w:rPr>
        <w:rFonts w:ascii="Arial" w:hAnsi="Arial" w:cs="Arial" w:hint="default"/>
        <w:b/>
        <w:i w:val="0"/>
        <w:caps w:val="0"/>
        <w:strike w:val="0"/>
        <w:dstrike w:val="0"/>
        <w:vanish w:val="0"/>
        <w:color w:val="000000"/>
        <w:sz w:val="24"/>
        <w:vertAlign w:val="baseline"/>
      </w:rPr>
    </w:lvl>
    <w:lvl w:ilvl="1">
      <w:start w:val="1"/>
      <w:numFmt w:val="decimal"/>
      <w:pStyle w:val="Ttulo2"/>
      <w:suff w:val="space"/>
      <w:lvlText w:val="%1.%2."/>
      <w:lvlJc w:val="left"/>
      <w:pPr>
        <w:ind w:left="1135" w:firstLine="0"/>
      </w:pPr>
      <w:rPr>
        <w:rFonts w:hint="default"/>
        <w:caps w:val="0"/>
        <w:strike w:val="0"/>
        <w:dstrike w:val="0"/>
        <w:vanish w:val="0"/>
        <w:vertAlign w:val="baseline"/>
      </w:rPr>
    </w:lvl>
    <w:lvl w:ilvl="2">
      <w:start w:val="1"/>
      <w:numFmt w:val="decimal"/>
      <w:pStyle w:val="Ttulo3"/>
      <w:suff w:val="space"/>
      <w:lvlText w:val="%2%3."/>
      <w:lvlJc w:val="left"/>
      <w:pPr>
        <w:ind w:left="0" w:firstLine="0"/>
      </w:pPr>
      <w:rPr>
        <w:rFonts w:hint="default"/>
      </w:rPr>
    </w:lvl>
    <w:lvl w:ilvl="3">
      <w:start w:val="1"/>
      <w:numFmt w:val="decimal"/>
      <w:pStyle w:val="Ttulo4"/>
      <w:suff w:val="space"/>
      <w:lvlText w:val="%2%3.%4."/>
      <w:lvlJc w:val="left"/>
      <w:pPr>
        <w:ind w:left="0" w:firstLine="0"/>
      </w:pPr>
      <w:rPr>
        <w:rFonts w:hint="default"/>
      </w:rPr>
    </w:lvl>
    <w:lvl w:ilvl="4">
      <w:start w:val="1"/>
      <w:numFmt w:val="lowerLetter"/>
      <w:pStyle w:val="Ttulo5"/>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
    <w:nsid w:val="1FED6FB1"/>
    <w:multiLevelType w:val="hybridMultilevel"/>
    <w:tmpl w:val="9F284672"/>
    <w:lvl w:ilvl="0" w:tplc="CAE0901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6DC2F6C"/>
    <w:multiLevelType w:val="hybridMultilevel"/>
    <w:tmpl w:val="84A63FBE"/>
    <w:lvl w:ilvl="0" w:tplc="5F5A5894">
      <w:start w:val="3"/>
      <w:numFmt w:val="bullet"/>
      <w:lvlText w:val="-"/>
      <w:lvlJc w:val="left"/>
      <w:pPr>
        <w:ind w:left="1440" w:hanging="360"/>
      </w:pPr>
      <w:rPr>
        <w:rFonts w:ascii="Arial" w:eastAsia="Calibr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80F3193"/>
    <w:multiLevelType w:val="hybridMultilevel"/>
    <w:tmpl w:val="43406B02"/>
    <w:lvl w:ilvl="0" w:tplc="96AA7C4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F6A5E79"/>
    <w:multiLevelType w:val="hybridMultilevel"/>
    <w:tmpl w:val="805CB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E338FD"/>
    <w:multiLevelType w:val="hybridMultilevel"/>
    <w:tmpl w:val="F05CB034"/>
    <w:lvl w:ilvl="0" w:tplc="35323558">
      <w:start w:val="1"/>
      <w:numFmt w:val="bullet"/>
      <w:pStyle w:val="Enumeracin"/>
      <w:lvlText w:val="-"/>
      <w:lvlJc w:val="left"/>
      <w:pPr>
        <w:tabs>
          <w:tab w:val="num" w:pos="720"/>
        </w:tabs>
        <w:ind w:left="720" w:hanging="360"/>
      </w:pPr>
      <w:rPr>
        <w:rFonts w:ascii="Times New Roman" w:hAnsi="Times New Roman" w:cs="Times New Roman"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B44595"/>
    <w:multiLevelType w:val="hybridMultilevel"/>
    <w:tmpl w:val="459A9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C75000"/>
    <w:multiLevelType w:val="hybridMultilevel"/>
    <w:tmpl w:val="9118E1C0"/>
    <w:lvl w:ilvl="0" w:tplc="A606D3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A22D79"/>
    <w:multiLevelType w:val="hybridMultilevel"/>
    <w:tmpl w:val="7EF604FC"/>
    <w:lvl w:ilvl="0" w:tplc="5F5A589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6"/>
  </w:num>
  <w:num w:numId="5">
    <w:abstractNumId w:val="3"/>
  </w:num>
  <w:num w:numId="6">
    <w:abstractNumId w:val="0"/>
  </w:num>
  <w:num w:numId="7">
    <w:abstractNumId w:val="9"/>
  </w:num>
  <w:num w:numId="8">
    <w:abstractNumId w:val="5"/>
  </w:num>
  <w:num w:numId="9">
    <w:abstractNumId w:val="2"/>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9"/>
  <w:hyphenationZone w:val="425"/>
  <w:evenAndOddHeaders/>
  <w:noPunctuationKerning/>
  <w:characterSpacingControl w:val="doNotCompress"/>
  <w:footnotePr>
    <w:footnote w:id="-1"/>
    <w:footnote w:id="0"/>
  </w:footnotePr>
  <w:endnotePr>
    <w:endnote w:id="-1"/>
    <w:endnote w:id="0"/>
  </w:endnotePr>
  <w:compat/>
  <w:rsids>
    <w:rsidRoot w:val="00B425CD"/>
    <w:rsid w:val="00001D49"/>
    <w:rsid w:val="0002721C"/>
    <w:rsid w:val="000358D4"/>
    <w:rsid w:val="00036E18"/>
    <w:rsid w:val="00042283"/>
    <w:rsid w:val="00051D7C"/>
    <w:rsid w:val="0005494E"/>
    <w:rsid w:val="00071F2D"/>
    <w:rsid w:val="00081B4D"/>
    <w:rsid w:val="000B5F05"/>
    <w:rsid w:val="000C5B3F"/>
    <w:rsid w:val="000C7292"/>
    <w:rsid w:val="000D15A2"/>
    <w:rsid w:val="000D3FB6"/>
    <w:rsid w:val="000D79F9"/>
    <w:rsid w:val="000E2A44"/>
    <w:rsid w:val="000E2F1F"/>
    <w:rsid w:val="000E714F"/>
    <w:rsid w:val="00103358"/>
    <w:rsid w:val="0011264D"/>
    <w:rsid w:val="00113E09"/>
    <w:rsid w:val="001168BD"/>
    <w:rsid w:val="00116FD4"/>
    <w:rsid w:val="00127D3E"/>
    <w:rsid w:val="001309E8"/>
    <w:rsid w:val="0014069F"/>
    <w:rsid w:val="00147323"/>
    <w:rsid w:val="0015029D"/>
    <w:rsid w:val="001513F5"/>
    <w:rsid w:val="00154CF6"/>
    <w:rsid w:val="001631F4"/>
    <w:rsid w:val="00164953"/>
    <w:rsid w:val="00177803"/>
    <w:rsid w:val="00180C7A"/>
    <w:rsid w:val="001904BD"/>
    <w:rsid w:val="001A6126"/>
    <w:rsid w:val="001B44FC"/>
    <w:rsid w:val="001B459A"/>
    <w:rsid w:val="001B4787"/>
    <w:rsid w:val="001E337D"/>
    <w:rsid w:val="001E3704"/>
    <w:rsid w:val="001E6A7F"/>
    <w:rsid w:val="001F0B85"/>
    <w:rsid w:val="001F276D"/>
    <w:rsid w:val="0020166F"/>
    <w:rsid w:val="002040DF"/>
    <w:rsid w:val="002111C3"/>
    <w:rsid w:val="00213818"/>
    <w:rsid w:val="00222116"/>
    <w:rsid w:val="00222A7A"/>
    <w:rsid w:val="00233BD6"/>
    <w:rsid w:val="00236EB4"/>
    <w:rsid w:val="00246E6D"/>
    <w:rsid w:val="002521A9"/>
    <w:rsid w:val="002737AB"/>
    <w:rsid w:val="002811F8"/>
    <w:rsid w:val="002839AB"/>
    <w:rsid w:val="00291331"/>
    <w:rsid w:val="002A2382"/>
    <w:rsid w:val="002A3318"/>
    <w:rsid w:val="002B23F4"/>
    <w:rsid w:val="002C0768"/>
    <w:rsid w:val="002D0641"/>
    <w:rsid w:val="002D09D5"/>
    <w:rsid w:val="002E0198"/>
    <w:rsid w:val="002E518C"/>
    <w:rsid w:val="002F7BF8"/>
    <w:rsid w:val="0031177E"/>
    <w:rsid w:val="00313C45"/>
    <w:rsid w:val="00313D3F"/>
    <w:rsid w:val="00322D8C"/>
    <w:rsid w:val="00324272"/>
    <w:rsid w:val="0033473E"/>
    <w:rsid w:val="003355D3"/>
    <w:rsid w:val="003359A2"/>
    <w:rsid w:val="00337177"/>
    <w:rsid w:val="00341C72"/>
    <w:rsid w:val="00342F39"/>
    <w:rsid w:val="00344C94"/>
    <w:rsid w:val="003527AA"/>
    <w:rsid w:val="00353B43"/>
    <w:rsid w:val="0035422E"/>
    <w:rsid w:val="00372B68"/>
    <w:rsid w:val="00373A4F"/>
    <w:rsid w:val="0037654D"/>
    <w:rsid w:val="0038203E"/>
    <w:rsid w:val="00385956"/>
    <w:rsid w:val="00393529"/>
    <w:rsid w:val="00397E1F"/>
    <w:rsid w:val="003A11D8"/>
    <w:rsid w:val="003A5922"/>
    <w:rsid w:val="003A6464"/>
    <w:rsid w:val="003B03C1"/>
    <w:rsid w:val="003C2984"/>
    <w:rsid w:val="003E2898"/>
    <w:rsid w:val="003E4906"/>
    <w:rsid w:val="003E5B01"/>
    <w:rsid w:val="003E7217"/>
    <w:rsid w:val="003F5534"/>
    <w:rsid w:val="00413AF7"/>
    <w:rsid w:val="00415DD2"/>
    <w:rsid w:val="00422160"/>
    <w:rsid w:val="00422742"/>
    <w:rsid w:val="00424A57"/>
    <w:rsid w:val="00436749"/>
    <w:rsid w:val="00444D28"/>
    <w:rsid w:val="004550CB"/>
    <w:rsid w:val="00471F11"/>
    <w:rsid w:val="004907D2"/>
    <w:rsid w:val="00497B7A"/>
    <w:rsid w:val="004B1323"/>
    <w:rsid w:val="004B7642"/>
    <w:rsid w:val="004D0C59"/>
    <w:rsid w:val="004E1D66"/>
    <w:rsid w:val="004F404A"/>
    <w:rsid w:val="00500E72"/>
    <w:rsid w:val="00516F2C"/>
    <w:rsid w:val="00517284"/>
    <w:rsid w:val="00526E89"/>
    <w:rsid w:val="0053328F"/>
    <w:rsid w:val="005362F0"/>
    <w:rsid w:val="0053726B"/>
    <w:rsid w:val="00556BFF"/>
    <w:rsid w:val="00566A01"/>
    <w:rsid w:val="00576A0D"/>
    <w:rsid w:val="00580620"/>
    <w:rsid w:val="00584B60"/>
    <w:rsid w:val="00592609"/>
    <w:rsid w:val="005A45A3"/>
    <w:rsid w:val="005C066B"/>
    <w:rsid w:val="005D0195"/>
    <w:rsid w:val="005D4093"/>
    <w:rsid w:val="005D6510"/>
    <w:rsid w:val="005E5369"/>
    <w:rsid w:val="005E7AB2"/>
    <w:rsid w:val="005F033D"/>
    <w:rsid w:val="00604599"/>
    <w:rsid w:val="0060621E"/>
    <w:rsid w:val="006101AB"/>
    <w:rsid w:val="0061439B"/>
    <w:rsid w:val="00621D06"/>
    <w:rsid w:val="006266FA"/>
    <w:rsid w:val="0064159B"/>
    <w:rsid w:val="0064798F"/>
    <w:rsid w:val="00670E5F"/>
    <w:rsid w:val="00680871"/>
    <w:rsid w:val="00684B4B"/>
    <w:rsid w:val="0068606D"/>
    <w:rsid w:val="006918D7"/>
    <w:rsid w:val="00692879"/>
    <w:rsid w:val="00695DB3"/>
    <w:rsid w:val="006A3E4C"/>
    <w:rsid w:val="006A6350"/>
    <w:rsid w:val="006A6C12"/>
    <w:rsid w:val="006C1813"/>
    <w:rsid w:val="006D5D8A"/>
    <w:rsid w:val="006E6D16"/>
    <w:rsid w:val="006F1D2C"/>
    <w:rsid w:val="00711677"/>
    <w:rsid w:val="00712FA9"/>
    <w:rsid w:val="0072656E"/>
    <w:rsid w:val="00727305"/>
    <w:rsid w:val="00737058"/>
    <w:rsid w:val="007445D8"/>
    <w:rsid w:val="00745682"/>
    <w:rsid w:val="00756C33"/>
    <w:rsid w:val="00765A01"/>
    <w:rsid w:val="00767EAD"/>
    <w:rsid w:val="007714F8"/>
    <w:rsid w:val="0077657D"/>
    <w:rsid w:val="00781C7A"/>
    <w:rsid w:val="007824C9"/>
    <w:rsid w:val="00785250"/>
    <w:rsid w:val="00790BDF"/>
    <w:rsid w:val="007A3C6B"/>
    <w:rsid w:val="007B08A2"/>
    <w:rsid w:val="007B54AA"/>
    <w:rsid w:val="007C5634"/>
    <w:rsid w:val="007C7DE8"/>
    <w:rsid w:val="007D3702"/>
    <w:rsid w:val="007D423F"/>
    <w:rsid w:val="007D5AD2"/>
    <w:rsid w:val="007F0574"/>
    <w:rsid w:val="007F0865"/>
    <w:rsid w:val="007F2252"/>
    <w:rsid w:val="007F3448"/>
    <w:rsid w:val="007F3A13"/>
    <w:rsid w:val="007F3EB5"/>
    <w:rsid w:val="007F6C42"/>
    <w:rsid w:val="00804DC7"/>
    <w:rsid w:val="00813DAF"/>
    <w:rsid w:val="0082017B"/>
    <w:rsid w:val="008222D0"/>
    <w:rsid w:val="00822B4D"/>
    <w:rsid w:val="0082551F"/>
    <w:rsid w:val="00826F84"/>
    <w:rsid w:val="00830876"/>
    <w:rsid w:val="00831A02"/>
    <w:rsid w:val="008325D8"/>
    <w:rsid w:val="008469B0"/>
    <w:rsid w:val="008522D5"/>
    <w:rsid w:val="0085264A"/>
    <w:rsid w:val="00854707"/>
    <w:rsid w:val="00855EA2"/>
    <w:rsid w:val="00857E1E"/>
    <w:rsid w:val="00867C96"/>
    <w:rsid w:val="00870EF6"/>
    <w:rsid w:val="00870FCB"/>
    <w:rsid w:val="00872311"/>
    <w:rsid w:val="008A3BB5"/>
    <w:rsid w:val="008B1EBC"/>
    <w:rsid w:val="008B4766"/>
    <w:rsid w:val="008C043D"/>
    <w:rsid w:val="008C0CBA"/>
    <w:rsid w:val="008C7BFE"/>
    <w:rsid w:val="008D3AA2"/>
    <w:rsid w:val="008D51D1"/>
    <w:rsid w:val="008D796B"/>
    <w:rsid w:val="008E018D"/>
    <w:rsid w:val="008F728A"/>
    <w:rsid w:val="009058BF"/>
    <w:rsid w:val="00907587"/>
    <w:rsid w:val="00907B29"/>
    <w:rsid w:val="00910C24"/>
    <w:rsid w:val="00910D7B"/>
    <w:rsid w:val="00924A03"/>
    <w:rsid w:val="009272D7"/>
    <w:rsid w:val="00927DF9"/>
    <w:rsid w:val="00940542"/>
    <w:rsid w:val="00944FA8"/>
    <w:rsid w:val="00951823"/>
    <w:rsid w:val="009547E5"/>
    <w:rsid w:val="009626C4"/>
    <w:rsid w:val="00964756"/>
    <w:rsid w:val="00964B25"/>
    <w:rsid w:val="00975F9A"/>
    <w:rsid w:val="00980469"/>
    <w:rsid w:val="00992066"/>
    <w:rsid w:val="00994A66"/>
    <w:rsid w:val="00994DE4"/>
    <w:rsid w:val="009A4285"/>
    <w:rsid w:val="009B0D92"/>
    <w:rsid w:val="009B133E"/>
    <w:rsid w:val="009B3B58"/>
    <w:rsid w:val="009D1E61"/>
    <w:rsid w:val="009D2EEA"/>
    <w:rsid w:val="009E15C4"/>
    <w:rsid w:val="009E6823"/>
    <w:rsid w:val="009F40AF"/>
    <w:rsid w:val="00A110EB"/>
    <w:rsid w:val="00A20801"/>
    <w:rsid w:val="00A37C47"/>
    <w:rsid w:val="00A66268"/>
    <w:rsid w:val="00A7446A"/>
    <w:rsid w:val="00A80263"/>
    <w:rsid w:val="00A812F0"/>
    <w:rsid w:val="00A855F3"/>
    <w:rsid w:val="00A9599D"/>
    <w:rsid w:val="00AA0BA0"/>
    <w:rsid w:val="00AB18E0"/>
    <w:rsid w:val="00AB68C0"/>
    <w:rsid w:val="00AC59D6"/>
    <w:rsid w:val="00AD007C"/>
    <w:rsid w:val="00AF64A6"/>
    <w:rsid w:val="00AF678A"/>
    <w:rsid w:val="00AF7B06"/>
    <w:rsid w:val="00B00C24"/>
    <w:rsid w:val="00B12388"/>
    <w:rsid w:val="00B13756"/>
    <w:rsid w:val="00B16EF0"/>
    <w:rsid w:val="00B22922"/>
    <w:rsid w:val="00B425CD"/>
    <w:rsid w:val="00B435E4"/>
    <w:rsid w:val="00B67956"/>
    <w:rsid w:val="00B76943"/>
    <w:rsid w:val="00B85BE6"/>
    <w:rsid w:val="00B93E36"/>
    <w:rsid w:val="00B953FD"/>
    <w:rsid w:val="00B969C4"/>
    <w:rsid w:val="00BB7E6D"/>
    <w:rsid w:val="00BC4349"/>
    <w:rsid w:val="00BC7A7A"/>
    <w:rsid w:val="00BE44F2"/>
    <w:rsid w:val="00BF3E52"/>
    <w:rsid w:val="00C105B9"/>
    <w:rsid w:val="00C10868"/>
    <w:rsid w:val="00C108F0"/>
    <w:rsid w:val="00C175B0"/>
    <w:rsid w:val="00C17C31"/>
    <w:rsid w:val="00C21073"/>
    <w:rsid w:val="00C26824"/>
    <w:rsid w:val="00C31BD8"/>
    <w:rsid w:val="00C33DC1"/>
    <w:rsid w:val="00C43D89"/>
    <w:rsid w:val="00C51468"/>
    <w:rsid w:val="00C6746E"/>
    <w:rsid w:val="00C70246"/>
    <w:rsid w:val="00C74B51"/>
    <w:rsid w:val="00C80B8C"/>
    <w:rsid w:val="00C81011"/>
    <w:rsid w:val="00C868A0"/>
    <w:rsid w:val="00C86E09"/>
    <w:rsid w:val="00C9552F"/>
    <w:rsid w:val="00CB1E03"/>
    <w:rsid w:val="00CB65FD"/>
    <w:rsid w:val="00CC0CAF"/>
    <w:rsid w:val="00CD32BD"/>
    <w:rsid w:val="00CE295D"/>
    <w:rsid w:val="00CE520B"/>
    <w:rsid w:val="00CE63FF"/>
    <w:rsid w:val="00CF0145"/>
    <w:rsid w:val="00CF7156"/>
    <w:rsid w:val="00D27CAF"/>
    <w:rsid w:val="00D32C57"/>
    <w:rsid w:val="00D35BD1"/>
    <w:rsid w:val="00D41E24"/>
    <w:rsid w:val="00D44166"/>
    <w:rsid w:val="00D4469D"/>
    <w:rsid w:val="00D46CD2"/>
    <w:rsid w:val="00D532FB"/>
    <w:rsid w:val="00D65FF8"/>
    <w:rsid w:val="00D800F5"/>
    <w:rsid w:val="00D90B90"/>
    <w:rsid w:val="00DC241C"/>
    <w:rsid w:val="00DC37BB"/>
    <w:rsid w:val="00DC7B4E"/>
    <w:rsid w:val="00DE4E89"/>
    <w:rsid w:val="00DE5625"/>
    <w:rsid w:val="00DF1CD5"/>
    <w:rsid w:val="00DF5037"/>
    <w:rsid w:val="00DF57AA"/>
    <w:rsid w:val="00DF5B15"/>
    <w:rsid w:val="00DF71CE"/>
    <w:rsid w:val="00E14B1F"/>
    <w:rsid w:val="00E16EEF"/>
    <w:rsid w:val="00E254A2"/>
    <w:rsid w:val="00E3516A"/>
    <w:rsid w:val="00E456C8"/>
    <w:rsid w:val="00E46ACA"/>
    <w:rsid w:val="00E60BA1"/>
    <w:rsid w:val="00E728FC"/>
    <w:rsid w:val="00E732B6"/>
    <w:rsid w:val="00EA1B99"/>
    <w:rsid w:val="00EA5E3F"/>
    <w:rsid w:val="00EA61EE"/>
    <w:rsid w:val="00EB074D"/>
    <w:rsid w:val="00EB7881"/>
    <w:rsid w:val="00ED5CFC"/>
    <w:rsid w:val="00EE4EFF"/>
    <w:rsid w:val="00EE76AC"/>
    <w:rsid w:val="00EF3AF5"/>
    <w:rsid w:val="00EF4760"/>
    <w:rsid w:val="00EF4CB2"/>
    <w:rsid w:val="00EF7F48"/>
    <w:rsid w:val="00F03D31"/>
    <w:rsid w:val="00F143FB"/>
    <w:rsid w:val="00F17A23"/>
    <w:rsid w:val="00F37969"/>
    <w:rsid w:val="00F42CE4"/>
    <w:rsid w:val="00F472FC"/>
    <w:rsid w:val="00F61ECE"/>
    <w:rsid w:val="00F62785"/>
    <w:rsid w:val="00F77818"/>
    <w:rsid w:val="00F91F12"/>
    <w:rsid w:val="00FA3CDF"/>
    <w:rsid w:val="00FB0866"/>
    <w:rsid w:val="00FD2FE4"/>
    <w:rsid w:val="00FD482D"/>
    <w:rsid w:val="00FD6D09"/>
    <w:rsid w:val="00FE4A7B"/>
    <w:rsid w:val="00FE7AC0"/>
    <w:rsid w:val="00FF1581"/>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1F4"/>
    <w:rPr>
      <w:sz w:val="24"/>
      <w:szCs w:val="24"/>
    </w:rPr>
  </w:style>
  <w:style w:type="paragraph" w:styleId="Ttulo1">
    <w:name w:val="heading 1"/>
    <w:basedOn w:val="Textoindependiente"/>
    <w:next w:val="Textoindependiente"/>
    <w:qFormat/>
    <w:rsid w:val="001631F4"/>
    <w:pPr>
      <w:keepNext/>
      <w:numPr>
        <w:numId w:val="1"/>
      </w:numPr>
      <w:spacing w:before="240"/>
      <w:outlineLvl w:val="0"/>
    </w:pPr>
    <w:rPr>
      <w:b/>
      <w:bCs/>
      <w:kern w:val="32"/>
      <w:sz w:val="24"/>
      <w:szCs w:val="32"/>
    </w:rPr>
  </w:style>
  <w:style w:type="paragraph" w:styleId="Ttulo2">
    <w:name w:val="heading 2"/>
    <w:basedOn w:val="Textoindependiente"/>
    <w:next w:val="Textoindependiente"/>
    <w:link w:val="Ttulo2Car"/>
    <w:qFormat/>
    <w:rsid w:val="001631F4"/>
    <w:pPr>
      <w:keepNext/>
      <w:numPr>
        <w:ilvl w:val="1"/>
        <w:numId w:val="1"/>
      </w:numPr>
      <w:ind w:left="0"/>
      <w:outlineLvl w:val="1"/>
    </w:pPr>
    <w:rPr>
      <w:b/>
      <w:bCs/>
      <w:i/>
      <w:iCs/>
      <w:szCs w:val="28"/>
    </w:rPr>
  </w:style>
  <w:style w:type="paragraph" w:styleId="Ttulo3">
    <w:name w:val="heading 3"/>
    <w:basedOn w:val="Normal"/>
    <w:next w:val="Normal"/>
    <w:qFormat/>
    <w:rsid w:val="001631F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1631F4"/>
    <w:pPr>
      <w:keepNext/>
      <w:numPr>
        <w:ilvl w:val="3"/>
        <w:numId w:val="1"/>
      </w:numPr>
      <w:spacing w:before="240" w:after="60"/>
      <w:outlineLvl w:val="3"/>
    </w:pPr>
    <w:rPr>
      <w:b/>
      <w:bCs/>
      <w:sz w:val="28"/>
      <w:szCs w:val="28"/>
    </w:rPr>
  </w:style>
  <w:style w:type="paragraph" w:styleId="Ttulo5">
    <w:name w:val="heading 5"/>
    <w:basedOn w:val="Normal"/>
    <w:next w:val="Normal"/>
    <w:qFormat/>
    <w:rsid w:val="001631F4"/>
    <w:pPr>
      <w:numPr>
        <w:ilvl w:val="4"/>
        <w:numId w:val="1"/>
      </w:numPr>
      <w:spacing w:before="240" w:after="60"/>
      <w:outlineLvl w:val="4"/>
    </w:pPr>
    <w:rPr>
      <w:b/>
      <w:bCs/>
      <w:i/>
      <w:iCs/>
      <w:sz w:val="26"/>
      <w:szCs w:val="26"/>
    </w:rPr>
  </w:style>
  <w:style w:type="paragraph" w:styleId="Ttulo6">
    <w:name w:val="heading 6"/>
    <w:basedOn w:val="Normal"/>
    <w:next w:val="Normal"/>
    <w:qFormat/>
    <w:rsid w:val="001631F4"/>
    <w:pPr>
      <w:spacing w:before="240" w:after="60"/>
      <w:outlineLvl w:val="5"/>
    </w:pPr>
    <w:rPr>
      <w:b/>
      <w:bCs/>
      <w:sz w:val="22"/>
      <w:szCs w:val="22"/>
    </w:rPr>
  </w:style>
  <w:style w:type="paragraph" w:styleId="Ttulo7">
    <w:name w:val="heading 7"/>
    <w:basedOn w:val="Normal"/>
    <w:next w:val="Normal"/>
    <w:qFormat/>
    <w:rsid w:val="001631F4"/>
    <w:pPr>
      <w:numPr>
        <w:ilvl w:val="6"/>
        <w:numId w:val="1"/>
      </w:numPr>
      <w:spacing w:before="240" w:after="60"/>
      <w:outlineLvl w:val="6"/>
    </w:pPr>
  </w:style>
  <w:style w:type="paragraph" w:styleId="Ttulo8">
    <w:name w:val="heading 8"/>
    <w:basedOn w:val="Normal"/>
    <w:next w:val="Normal"/>
    <w:qFormat/>
    <w:rsid w:val="001631F4"/>
    <w:pPr>
      <w:numPr>
        <w:ilvl w:val="7"/>
        <w:numId w:val="1"/>
      </w:numPr>
      <w:spacing w:before="240" w:after="60"/>
      <w:outlineLvl w:val="7"/>
    </w:pPr>
    <w:rPr>
      <w:i/>
      <w:iCs/>
    </w:rPr>
  </w:style>
  <w:style w:type="paragraph" w:styleId="Ttulo9">
    <w:name w:val="heading 9"/>
    <w:basedOn w:val="Normal"/>
    <w:next w:val="Normal"/>
    <w:qFormat/>
    <w:rsid w:val="00163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recha">
    <w:name w:val="título derecha"/>
    <w:basedOn w:val="Ttulo6"/>
    <w:rsid w:val="001631F4"/>
    <w:pPr>
      <w:keepNext/>
      <w:framePr w:w="1514" w:wrap="around" w:vAnchor="text" w:hAnchor="margin" w:x="7656" w:y="1"/>
      <w:pBdr>
        <w:top w:val="single" w:sz="6" w:space="5" w:color="FFFFFF"/>
        <w:left w:val="single" w:sz="6" w:space="5" w:color="FFFFFF"/>
        <w:bottom w:val="single" w:sz="6" w:space="5" w:color="FFFFFF"/>
        <w:right w:val="single" w:sz="6" w:space="5" w:color="FFFFFF"/>
      </w:pBdr>
      <w:shd w:val="pct20" w:color="auto" w:fill="auto"/>
      <w:suppressAutoHyphens/>
      <w:spacing w:before="0" w:after="0"/>
    </w:pPr>
    <w:rPr>
      <w:rFonts w:ascii="Swis721 Cn BT" w:hAnsi="Swis721 Cn BT"/>
      <w:bCs w:val="0"/>
      <w:spacing w:val="-5"/>
      <w:kern w:val="2"/>
      <w:sz w:val="16"/>
      <w:szCs w:val="20"/>
    </w:rPr>
  </w:style>
  <w:style w:type="paragraph" w:customStyle="1" w:styleId="Ttuloizquierda">
    <w:name w:val="Título izquierda"/>
    <w:basedOn w:val="Ttulo6"/>
    <w:rsid w:val="001631F4"/>
    <w:pPr>
      <w:keepNext/>
      <w:framePr w:w="1514" w:wrap="around" w:vAnchor="text" w:hAnchor="margin" w:x="-1842" w:y="1"/>
      <w:pBdr>
        <w:top w:val="single" w:sz="6" w:space="5" w:color="FFFFFF"/>
        <w:left w:val="single" w:sz="6" w:space="5" w:color="FFFFFF"/>
        <w:bottom w:val="single" w:sz="6" w:space="5" w:color="FFFFFF"/>
        <w:right w:val="single" w:sz="6" w:space="5" w:color="FFFFFF"/>
      </w:pBdr>
      <w:shd w:val="pct20" w:color="auto" w:fill="auto"/>
      <w:suppressAutoHyphens/>
      <w:spacing w:before="0" w:after="0"/>
      <w:jc w:val="right"/>
    </w:pPr>
    <w:rPr>
      <w:rFonts w:ascii="Swis721 Cn BT" w:hAnsi="Swis721 Cn BT"/>
      <w:bCs w:val="0"/>
      <w:spacing w:val="-5"/>
      <w:kern w:val="2"/>
      <w:sz w:val="16"/>
      <w:szCs w:val="20"/>
    </w:rPr>
  </w:style>
  <w:style w:type="paragraph" w:styleId="Textoindependiente">
    <w:name w:val="Body Text"/>
    <w:basedOn w:val="Normal"/>
    <w:rsid w:val="001631F4"/>
    <w:pPr>
      <w:spacing w:before="120" w:after="120"/>
      <w:jc w:val="both"/>
    </w:pPr>
    <w:rPr>
      <w:sz w:val="22"/>
    </w:rPr>
  </w:style>
  <w:style w:type="paragraph" w:styleId="Encabezado">
    <w:name w:val="header"/>
    <w:basedOn w:val="Normal"/>
    <w:rsid w:val="001631F4"/>
    <w:pPr>
      <w:tabs>
        <w:tab w:val="center" w:pos="4252"/>
        <w:tab w:val="right" w:pos="8504"/>
      </w:tabs>
      <w:jc w:val="center"/>
    </w:pPr>
    <w:rPr>
      <w:caps/>
      <w:sz w:val="18"/>
      <w:lang w:val="es-ES_tradnl"/>
    </w:rPr>
  </w:style>
  <w:style w:type="paragraph" w:styleId="Piedepgina">
    <w:name w:val="footer"/>
    <w:basedOn w:val="Normal"/>
    <w:rsid w:val="001631F4"/>
    <w:pPr>
      <w:tabs>
        <w:tab w:val="center" w:pos="4252"/>
        <w:tab w:val="right" w:pos="8504"/>
      </w:tabs>
    </w:pPr>
  </w:style>
  <w:style w:type="character" w:styleId="Hipervnculo">
    <w:name w:val="Hyperlink"/>
    <w:basedOn w:val="Fuentedeprrafopredeter"/>
    <w:rsid w:val="001631F4"/>
    <w:rPr>
      <w:color w:val="0000FF"/>
      <w:u w:val="single"/>
    </w:rPr>
  </w:style>
  <w:style w:type="paragraph" w:customStyle="1" w:styleId="Ttulodetrabajo">
    <w:name w:val="Título de trabajo"/>
    <w:basedOn w:val="Textoindependiente"/>
    <w:rsid w:val="001631F4"/>
    <w:pPr>
      <w:pBdr>
        <w:bottom w:val="single" w:sz="4" w:space="1" w:color="auto"/>
      </w:pBdr>
      <w:spacing w:before="1080"/>
      <w:jc w:val="right"/>
    </w:pPr>
    <w:rPr>
      <w:b/>
      <w:bCs/>
      <w:caps/>
      <w:sz w:val="40"/>
    </w:rPr>
  </w:style>
  <w:style w:type="paragraph" w:customStyle="1" w:styleId="Autor">
    <w:name w:val="Autor"/>
    <w:basedOn w:val="Textoindependiente"/>
    <w:rsid w:val="001631F4"/>
    <w:pPr>
      <w:spacing w:after="0"/>
      <w:jc w:val="right"/>
    </w:pPr>
    <w:rPr>
      <w:smallCaps/>
    </w:rPr>
  </w:style>
  <w:style w:type="paragraph" w:customStyle="1" w:styleId="Universidad">
    <w:name w:val="Universidad"/>
    <w:basedOn w:val="Textoindependiente"/>
    <w:rsid w:val="001631F4"/>
    <w:pPr>
      <w:spacing w:before="0"/>
      <w:jc w:val="right"/>
    </w:pPr>
    <w:rPr>
      <w:i/>
    </w:rPr>
  </w:style>
  <w:style w:type="paragraph" w:styleId="Textonotapie">
    <w:name w:val="footnote text"/>
    <w:basedOn w:val="Normal"/>
    <w:link w:val="TextonotapieCar"/>
    <w:semiHidden/>
    <w:rsid w:val="001631F4"/>
    <w:pPr>
      <w:ind w:left="360" w:hanging="360"/>
    </w:pPr>
    <w:rPr>
      <w:sz w:val="18"/>
      <w:szCs w:val="20"/>
    </w:rPr>
  </w:style>
  <w:style w:type="character" w:styleId="Refdenotaalpie">
    <w:name w:val="footnote reference"/>
    <w:basedOn w:val="Fuentedeprrafopredeter"/>
    <w:semiHidden/>
    <w:rsid w:val="001631F4"/>
    <w:rPr>
      <w:vertAlign w:val="superscript"/>
    </w:rPr>
  </w:style>
  <w:style w:type="character" w:styleId="Nmerodepgina">
    <w:name w:val="page number"/>
    <w:basedOn w:val="Fuentedeprrafopredeter"/>
    <w:rsid w:val="001631F4"/>
    <w:rPr>
      <w:sz w:val="18"/>
    </w:rPr>
  </w:style>
  <w:style w:type="paragraph" w:customStyle="1" w:styleId="Ttuloresumen">
    <w:name w:val="Título resumen"/>
    <w:basedOn w:val="Universidad"/>
    <w:rsid w:val="001631F4"/>
    <w:pPr>
      <w:spacing w:before="120"/>
    </w:pPr>
    <w:rPr>
      <w:b/>
      <w:bCs/>
      <w:i w:val="0"/>
      <w:iCs/>
      <w:caps/>
      <w:sz w:val="24"/>
    </w:rPr>
  </w:style>
  <w:style w:type="paragraph" w:customStyle="1" w:styleId="Textoresumen">
    <w:name w:val="Texto resumen"/>
    <w:basedOn w:val="Textoindependiente"/>
    <w:rsid w:val="001631F4"/>
    <w:pPr>
      <w:ind w:left="1080"/>
      <w:jc w:val="right"/>
    </w:pPr>
    <w:rPr>
      <w:i/>
      <w:iCs/>
    </w:rPr>
  </w:style>
  <w:style w:type="paragraph" w:customStyle="1" w:styleId="Enumeracin">
    <w:name w:val="Enumeración"/>
    <w:basedOn w:val="Textoindependiente"/>
    <w:rsid w:val="001631F4"/>
    <w:pPr>
      <w:numPr>
        <w:numId w:val="3"/>
      </w:numPr>
      <w:tabs>
        <w:tab w:val="clear" w:pos="720"/>
        <w:tab w:val="num" w:pos="540"/>
      </w:tabs>
      <w:ind w:left="539" w:hanging="255"/>
    </w:pPr>
  </w:style>
  <w:style w:type="paragraph" w:customStyle="1" w:styleId="Numeracindetablasyfiguras">
    <w:name w:val="Numeración de tablas y figuras"/>
    <w:basedOn w:val="Textoindependiente"/>
    <w:next w:val="Ttulodetablasyfiguras"/>
    <w:rsid w:val="001631F4"/>
    <w:pPr>
      <w:spacing w:after="0"/>
      <w:jc w:val="center"/>
    </w:pPr>
    <w:rPr>
      <w:caps/>
      <w:sz w:val="20"/>
    </w:rPr>
  </w:style>
  <w:style w:type="paragraph" w:customStyle="1" w:styleId="Ttulodetablasyfiguras">
    <w:name w:val="Título de tablas y figuras"/>
    <w:basedOn w:val="Textoindependiente"/>
    <w:rsid w:val="001631F4"/>
    <w:pPr>
      <w:spacing w:before="0"/>
      <w:jc w:val="center"/>
    </w:pPr>
    <w:rPr>
      <w:b/>
      <w:bCs/>
      <w:sz w:val="20"/>
    </w:rPr>
  </w:style>
  <w:style w:type="paragraph" w:customStyle="1" w:styleId="Textodetablas">
    <w:name w:val="Texto de tablas"/>
    <w:basedOn w:val="Textoindependiente"/>
    <w:rsid w:val="001631F4"/>
    <w:pPr>
      <w:spacing w:before="60" w:after="60"/>
      <w:jc w:val="center"/>
    </w:pPr>
    <w:rPr>
      <w:sz w:val="18"/>
    </w:rPr>
  </w:style>
  <w:style w:type="paragraph" w:styleId="Prrafodelista">
    <w:name w:val="List Paragraph"/>
    <w:basedOn w:val="Normal"/>
    <w:uiPriority w:val="34"/>
    <w:qFormat/>
    <w:rsid w:val="00695DB3"/>
    <w:pPr>
      <w:spacing w:after="200" w:line="276" w:lineRule="auto"/>
      <w:ind w:left="720"/>
      <w:contextualSpacing/>
    </w:pPr>
    <w:rPr>
      <w:rFonts w:ascii="Calibri" w:eastAsia="Calibri" w:hAnsi="Calibri"/>
      <w:sz w:val="22"/>
      <w:szCs w:val="22"/>
      <w:lang w:val="es-ES_tradnl" w:eastAsia="en-US"/>
    </w:rPr>
  </w:style>
  <w:style w:type="character" w:customStyle="1" w:styleId="TextonotapieCar">
    <w:name w:val="Texto nota pie Car"/>
    <w:basedOn w:val="Fuentedeprrafopredeter"/>
    <w:link w:val="Textonotapie"/>
    <w:uiPriority w:val="99"/>
    <w:semiHidden/>
    <w:rsid w:val="009D2EEA"/>
    <w:rPr>
      <w:sz w:val="18"/>
    </w:rPr>
  </w:style>
  <w:style w:type="paragraph" w:styleId="Epgrafe">
    <w:name w:val="caption"/>
    <w:basedOn w:val="Normal"/>
    <w:next w:val="Normal"/>
    <w:uiPriority w:val="35"/>
    <w:unhideWhenUsed/>
    <w:qFormat/>
    <w:rsid w:val="009D2EEA"/>
    <w:pPr>
      <w:spacing w:after="200" w:line="276" w:lineRule="auto"/>
    </w:pPr>
    <w:rPr>
      <w:rFonts w:ascii="Calibri" w:eastAsia="Calibri" w:hAnsi="Calibri"/>
      <w:b/>
      <w:bCs/>
      <w:sz w:val="20"/>
      <w:szCs w:val="20"/>
      <w:lang w:val="es-ES_tradnl" w:eastAsia="en-US"/>
    </w:rPr>
  </w:style>
  <w:style w:type="character" w:customStyle="1" w:styleId="longtext">
    <w:name w:val="long_text"/>
    <w:basedOn w:val="Fuentedeprrafopredeter"/>
    <w:rsid w:val="00B16EF0"/>
  </w:style>
  <w:style w:type="character" w:customStyle="1" w:styleId="hps">
    <w:name w:val="hps"/>
    <w:basedOn w:val="Fuentedeprrafopredeter"/>
    <w:rsid w:val="002D09D5"/>
  </w:style>
  <w:style w:type="paragraph" w:styleId="Textonotaalfinal">
    <w:name w:val="endnote text"/>
    <w:basedOn w:val="Normal"/>
    <w:link w:val="TextonotaalfinalCar"/>
    <w:rsid w:val="00154CF6"/>
    <w:rPr>
      <w:sz w:val="20"/>
      <w:szCs w:val="20"/>
    </w:rPr>
  </w:style>
  <w:style w:type="character" w:customStyle="1" w:styleId="TextonotaalfinalCar">
    <w:name w:val="Texto nota al final Car"/>
    <w:basedOn w:val="Fuentedeprrafopredeter"/>
    <w:link w:val="Textonotaalfinal"/>
    <w:rsid w:val="00154CF6"/>
  </w:style>
  <w:style w:type="character" w:styleId="Refdenotaalfinal">
    <w:name w:val="endnote reference"/>
    <w:basedOn w:val="Fuentedeprrafopredeter"/>
    <w:rsid w:val="00154CF6"/>
    <w:rPr>
      <w:vertAlign w:val="superscript"/>
    </w:rPr>
  </w:style>
  <w:style w:type="character" w:customStyle="1" w:styleId="Ttulo2Car">
    <w:name w:val="Título 2 Car"/>
    <w:basedOn w:val="Fuentedeprrafopredeter"/>
    <w:link w:val="Ttulo2"/>
    <w:rsid w:val="00385956"/>
    <w:rPr>
      <w:b/>
      <w:bCs/>
      <w:i/>
      <w:iCs/>
      <w:sz w:val="22"/>
      <w:szCs w:val="28"/>
    </w:rPr>
  </w:style>
  <w:style w:type="table" w:styleId="Tablaconcuadrcula">
    <w:name w:val="Table Grid"/>
    <w:basedOn w:val="Tablanormal"/>
    <w:uiPriority w:val="59"/>
    <w:rsid w:val="00385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404A"/>
    <w:pPr>
      <w:spacing w:before="100" w:beforeAutospacing="1" w:after="100" w:afterAutospacing="1"/>
    </w:pPr>
  </w:style>
  <w:style w:type="paragraph" w:styleId="Sangra2detindependiente">
    <w:name w:val="Body Text Indent 2"/>
    <w:basedOn w:val="Normal"/>
    <w:link w:val="Sangra2detindependienteCar"/>
    <w:rsid w:val="00907587"/>
    <w:pPr>
      <w:spacing w:after="120" w:line="480" w:lineRule="auto"/>
      <w:ind w:left="283"/>
    </w:pPr>
  </w:style>
  <w:style w:type="character" w:customStyle="1" w:styleId="Sangra2detindependienteCar">
    <w:name w:val="Sangría 2 de t. independiente Car"/>
    <w:basedOn w:val="Fuentedeprrafopredeter"/>
    <w:link w:val="Sangra2detindependiente"/>
    <w:rsid w:val="00907587"/>
    <w:rPr>
      <w:sz w:val="24"/>
      <w:szCs w:val="24"/>
    </w:rPr>
  </w:style>
  <w:style w:type="paragraph" w:styleId="Textodeglobo">
    <w:name w:val="Balloon Text"/>
    <w:basedOn w:val="Normal"/>
    <w:link w:val="TextodegloboCar"/>
    <w:rsid w:val="00E16EEF"/>
    <w:rPr>
      <w:rFonts w:ascii="Tahoma" w:hAnsi="Tahoma" w:cs="Tahoma"/>
      <w:sz w:val="16"/>
      <w:szCs w:val="16"/>
    </w:rPr>
  </w:style>
  <w:style w:type="character" w:customStyle="1" w:styleId="TextodegloboCar">
    <w:name w:val="Texto de globo Car"/>
    <w:basedOn w:val="Fuentedeprrafopredeter"/>
    <w:link w:val="Textodeglobo"/>
    <w:rsid w:val="00E16EEF"/>
    <w:rPr>
      <w:rFonts w:ascii="Tahoma" w:hAnsi="Tahoma" w:cs="Tahoma"/>
      <w:sz w:val="16"/>
      <w:szCs w:val="16"/>
    </w:rPr>
  </w:style>
  <w:style w:type="character" w:styleId="Refdecomentario">
    <w:name w:val="annotation reference"/>
    <w:basedOn w:val="Fuentedeprrafopredeter"/>
    <w:rsid w:val="00711677"/>
    <w:rPr>
      <w:sz w:val="16"/>
      <w:szCs w:val="16"/>
    </w:rPr>
  </w:style>
  <w:style w:type="paragraph" w:styleId="Textocomentario">
    <w:name w:val="annotation text"/>
    <w:basedOn w:val="Normal"/>
    <w:link w:val="TextocomentarioCar"/>
    <w:rsid w:val="00711677"/>
    <w:rPr>
      <w:sz w:val="20"/>
      <w:szCs w:val="20"/>
    </w:rPr>
  </w:style>
  <w:style w:type="character" w:customStyle="1" w:styleId="TextocomentarioCar">
    <w:name w:val="Texto comentario Car"/>
    <w:basedOn w:val="Fuentedeprrafopredeter"/>
    <w:link w:val="Textocomentario"/>
    <w:rsid w:val="00711677"/>
  </w:style>
  <w:style w:type="paragraph" w:styleId="Asuntodelcomentario">
    <w:name w:val="annotation subject"/>
    <w:basedOn w:val="Textocomentario"/>
    <w:next w:val="Textocomentario"/>
    <w:link w:val="AsuntodelcomentarioCar"/>
    <w:rsid w:val="00711677"/>
    <w:rPr>
      <w:b/>
      <w:bCs/>
    </w:rPr>
  </w:style>
  <w:style w:type="character" w:customStyle="1" w:styleId="AsuntodelcomentarioCar">
    <w:name w:val="Asunto del comentario Car"/>
    <w:basedOn w:val="TextocomentarioCar"/>
    <w:link w:val="Asuntodelcomentario"/>
    <w:rsid w:val="0071167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1F4"/>
    <w:rPr>
      <w:sz w:val="24"/>
      <w:szCs w:val="24"/>
    </w:rPr>
  </w:style>
  <w:style w:type="paragraph" w:styleId="Ttulo1">
    <w:name w:val="heading 1"/>
    <w:basedOn w:val="Textodecuerpo"/>
    <w:next w:val="Textodecuerpo"/>
    <w:qFormat/>
    <w:rsid w:val="001631F4"/>
    <w:pPr>
      <w:keepNext/>
      <w:numPr>
        <w:numId w:val="1"/>
      </w:numPr>
      <w:spacing w:before="240"/>
      <w:outlineLvl w:val="0"/>
    </w:pPr>
    <w:rPr>
      <w:b/>
      <w:bCs/>
      <w:kern w:val="32"/>
      <w:sz w:val="24"/>
      <w:szCs w:val="32"/>
    </w:rPr>
  </w:style>
  <w:style w:type="paragraph" w:styleId="Ttulo2">
    <w:name w:val="heading 2"/>
    <w:basedOn w:val="Textodecuerpo"/>
    <w:next w:val="Textodecuerpo"/>
    <w:qFormat/>
    <w:rsid w:val="001631F4"/>
    <w:pPr>
      <w:keepNext/>
      <w:numPr>
        <w:ilvl w:val="1"/>
        <w:numId w:val="1"/>
      </w:numPr>
      <w:outlineLvl w:val="1"/>
    </w:pPr>
    <w:rPr>
      <w:b/>
      <w:bCs/>
      <w:i/>
      <w:iCs/>
      <w:szCs w:val="28"/>
    </w:rPr>
  </w:style>
  <w:style w:type="paragraph" w:styleId="Ttulo3">
    <w:name w:val="heading 3"/>
    <w:basedOn w:val="Normal"/>
    <w:next w:val="Normal"/>
    <w:qFormat/>
    <w:rsid w:val="001631F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1631F4"/>
    <w:pPr>
      <w:keepNext/>
      <w:numPr>
        <w:ilvl w:val="3"/>
        <w:numId w:val="1"/>
      </w:numPr>
      <w:spacing w:before="240" w:after="60"/>
      <w:outlineLvl w:val="3"/>
    </w:pPr>
    <w:rPr>
      <w:b/>
      <w:bCs/>
      <w:sz w:val="28"/>
      <w:szCs w:val="28"/>
    </w:rPr>
  </w:style>
  <w:style w:type="paragraph" w:styleId="Ttulo5">
    <w:name w:val="heading 5"/>
    <w:basedOn w:val="Normal"/>
    <w:next w:val="Normal"/>
    <w:qFormat/>
    <w:rsid w:val="001631F4"/>
    <w:pPr>
      <w:numPr>
        <w:ilvl w:val="4"/>
        <w:numId w:val="1"/>
      </w:numPr>
      <w:spacing w:before="240" w:after="60"/>
      <w:outlineLvl w:val="4"/>
    </w:pPr>
    <w:rPr>
      <w:b/>
      <w:bCs/>
      <w:i/>
      <w:iCs/>
      <w:sz w:val="26"/>
      <w:szCs w:val="26"/>
    </w:rPr>
  </w:style>
  <w:style w:type="paragraph" w:styleId="Ttulo6">
    <w:name w:val="heading 6"/>
    <w:basedOn w:val="Normal"/>
    <w:next w:val="Normal"/>
    <w:qFormat/>
    <w:rsid w:val="001631F4"/>
    <w:pPr>
      <w:spacing w:before="240" w:after="60"/>
      <w:outlineLvl w:val="5"/>
    </w:pPr>
    <w:rPr>
      <w:b/>
      <w:bCs/>
      <w:sz w:val="22"/>
      <w:szCs w:val="22"/>
    </w:rPr>
  </w:style>
  <w:style w:type="paragraph" w:styleId="Ttulo7">
    <w:name w:val="heading 7"/>
    <w:basedOn w:val="Normal"/>
    <w:next w:val="Normal"/>
    <w:qFormat/>
    <w:rsid w:val="001631F4"/>
    <w:pPr>
      <w:numPr>
        <w:ilvl w:val="6"/>
        <w:numId w:val="1"/>
      </w:numPr>
      <w:spacing w:before="240" w:after="60"/>
      <w:outlineLvl w:val="6"/>
    </w:pPr>
  </w:style>
  <w:style w:type="paragraph" w:styleId="Ttulo8">
    <w:name w:val="heading 8"/>
    <w:basedOn w:val="Normal"/>
    <w:next w:val="Normal"/>
    <w:qFormat/>
    <w:rsid w:val="001631F4"/>
    <w:pPr>
      <w:numPr>
        <w:ilvl w:val="7"/>
        <w:numId w:val="1"/>
      </w:numPr>
      <w:spacing w:before="240" w:after="60"/>
      <w:outlineLvl w:val="7"/>
    </w:pPr>
    <w:rPr>
      <w:i/>
      <w:iCs/>
    </w:rPr>
  </w:style>
  <w:style w:type="paragraph" w:styleId="Ttulo9">
    <w:name w:val="heading 9"/>
    <w:basedOn w:val="Normal"/>
    <w:next w:val="Normal"/>
    <w:qFormat/>
    <w:rsid w:val="00163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recha">
    <w:name w:val="título derecha"/>
    <w:basedOn w:val="Ttulo6"/>
    <w:rsid w:val="001631F4"/>
    <w:pPr>
      <w:keepNext/>
      <w:framePr w:w="1514" w:wrap="around" w:vAnchor="text" w:hAnchor="margin" w:x="7656" w:y="1"/>
      <w:pBdr>
        <w:top w:val="single" w:sz="6" w:space="5" w:color="FFFFFF"/>
        <w:left w:val="single" w:sz="6" w:space="5" w:color="FFFFFF"/>
        <w:bottom w:val="single" w:sz="6" w:space="5" w:color="FFFFFF"/>
        <w:right w:val="single" w:sz="6" w:space="5" w:color="FFFFFF"/>
      </w:pBdr>
      <w:shd w:val="pct20" w:color="auto" w:fill="auto"/>
      <w:suppressAutoHyphens/>
      <w:spacing w:before="0" w:after="0"/>
    </w:pPr>
    <w:rPr>
      <w:rFonts w:ascii="Swis721 Cn BT" w:hAnsi="Swis721 Cn BT"/>
      <w:bCs w:val="0"/>
      <w:spacing w:val="-5"/>
      <w:kern w:val="2"/>
      <w:sz w:val="16"/>
      <w:szCs w:val="20"/>
    </w:rPr>
  </w:style>
  <w:style w:type="paragraph" w:customStyle="1" w:styleId="Ttuloizquierda">
    <w:name w:val="Título izquierda"/>
    <w:basedOn w:val="Ttulo6"/>
    <w:rsid w:val="001631F4"/>
    <w:pPr>
      <w:keepNext/>
      <w:framePr w:w="1514" w:wrap="around" w:vAnchor="text" w:hAnchor="margin" w:x="-1842" w:y="1"/>
      <w:pBdr>
        <w:top w:val="single" w:sz="6" w:space="5" w:color="FFFFFF"/>
        <w:left w:val="single" w:sz="6" w:space="5" w:color="FFFFFF"/>
        <w:bottom w:val="single" w:sz="6" w:space="5" w:color="FFFFFF"/>
        <w:right w:val="single" w:sz="6" w:space="5" w:color="FFFFFF"/>
      </w:pBdr>
      <w:shd w:val="pct20" w:color="auto" w:fill="auto"/>
      <w:suppressAutoHyphens/>
      <w:spacing w:before="0" w:after="0"/>
      <w:jc w:val="right"/>
    </w:pPr>
    <w:rPr>
      <w:rFonts w:ascii="Swis721 Cn BT" w:hAnsi="Swis721 Cn BT"/>
      <w:bCs w:val="0"/>
      <w:spacing w:val="-5"/>
      <w:kern w:val="2"/>
      <w:sz w:val="16"/>
      <w:szCs w:val="20"/>
    </w:rPr>
  </w:style>
  <w:style w:type="paragraph" w:styleId="Textodecuerpo">
    <w:name w:val="Body Text"/>
    <w:basedOn w:val="Normal"/>
    <w:rsid w:val="001631F4"/>
    <w:pPr>
      <w:spacing w:before="120" w:after="120"/>
      <w:jc w:val="both"/>
    </w:pPr>
    <w:rPr>
      <w:sz w:val="22"/>
    </w:rPr>
  </w:style>
  <w:style w:type="paragraph" w:styleId="Encabezado">
    <w:name w:val="header"/>
    <w:basedOn w:val="Normal"/>
    <w:rsid w:val="001631F4"/>
    <w:pPr>
      <w:tabs>
        <w:tab w:val="center" w:pos="4252"/>
        <w:tab w:val="right" w:pos="8504"/>
      </w:tabs>
      <w:jc w:val="center"/>
    </w:pPr>
    <w:rPr>
      <w:caps/>
      <w:sz w:val="18"/>
      <w:lang w:val="es-ES_tradnl"/>
    </w:rPr>
  </w:style>
  <w:style w:type="paragraph" w:styleId="Piedepgina">
    <w:name w:val="footer"/>
    <w:basedOn w:val="Normal"/>
    <w:rsid w:val="001631F4"/>
    <w:pPr>
      <w:tabs>
        <w:tab w:val="center" w:pos="4252"/>
        <w:tab w:val="right" w:pos="8504"/>
      </w:tabs>
    </w:pPr>
  </w:style>
  <w:style w:type="character" w:styleId="Hipervnculo">
    <w:name w:val="Hyperlink"/>
    <w:basedOn w:val="Fuentedeprrafopredeter"/>
    <w:rsid w:val="001631F4"/>
    <w:rPr>
      <w:color w:val="0000FF"/>
      <w:u w:val="single"/>
    </w:rPr>
  </w:style>
  <w:style w:type="paragraph" w:customStyle="1" w:styleId="Ttulodetrabajo">
    <w:name w:val="Título de trabajo"/>
    <w:basedOn w:val="Textodecuerpo"/>
    <w:rsid w:val="001631F4"/>
    <w:pPr>
      <w:pBdr>
        <w:bottom w:val="single" w:sz="4" w:space="1" w:color="auto"/>
      </w:pBdr>
      <w:spacing w:before="1080"/>
      <w:jc w:val="right"/>
    </w:pPr>
    <w:rPr>
      <w:b/>
      <w:bCs/>
      <w:caps/>
      <w:sz w:val="40"/>
    </w:rPr>
  </w:style>
  <w:style w:type="paragraph" w:customStyle="1" w:styleId="Autor">
    <w:name w:val="Autor"/>
    <w:basedOn w:val="Textodecuerpo"/>
    <w:rsid w:val="001631F4"/>
    <w:pPr>
      <w:spacing w:after="0"/>
      <w:jc w:val="right"/>
    </w:pPr>
    <w:rPr>
      <w:smallCaps/>
    </w:rPr>
  </w:style>
  <w:style w:type="paragraph" w:customStyle="1" w:styleId="Universidad">
    <w:name w:val="Universidad"/>
    <w:basedOn w:val="Textodecuerpo"/>
    <w:rsid w:val="001631F4"/>
    <w:pPr>
      <w:spacing w:before="0"/>
      <w:jc w:val="right"/>
    </w:pPr>
    <w:rPr>
      <w:i/>
    </w:rPr>
  </w:style>
  <w:style w:type="paragraph" w:styleId="Textonotapie">
    <w:name w:val="footnote text"/>
    <w:basedOn w:val="Normal"/>
    <w:link w:val="TextonotapieCar"/>
    <w:uiPriority w:val="99"/>
    <w:semiHidden/>
    <w:rsid w:val="001631F4"/>
    <w:pPr>
      <w:ind w:left="360" w:hanging="360"/>
    </w:pPr>
    <w:rPr>
      <w:sz w:val="18"/>
      <w:szCs w:val="20"/>
    </w:rPr>
  </w:style>
  <w:style w:type="character" w:styleId="Refdenotaalpie">
    <w:name w:val="footnote reference"/>
    <w:basedOn w:val="Fuentedeprrafopredeter"/>
    <w:uiPriority w:val="99"/>
    <w:semiHidden/>
    <w:rsid w:val="001631F4"/>
    <w:rPr>
      <w:vertAlign w:val="superscript"/>
    </w:rPr>
  </w:style>
  <w:style w:type="character" w:styleId="Nmerodepgina">
    <w:name w:val="page number"/>
    <w:basedOn w:val="Fuentedeprrafopredeter"/>
    <w:rsid w:val="001631F4"/>
    <w:rPr>
      <w:sz w:val="18"/>
    </w:rPr>
  </w:style>
  <w:style w:type="paragraph" w:customStyle="1" w:styleId="Ttuloresumen">
    <w:name w:val="Título resumen"/>
    <w:basedOn w:val="Universidad"/>
    <w:rsid w:val="001631F4"/>
    <w:pPr>
      <w:spacing w:before="120"/>
    </w:pPr>
    <w:rPr>
      <w:b/>
      <w:bCs/>
      <w:i w:val="0"/>
      <w:iCs/>
      <w:caps/>
      <w:sz w:val="24"/>
    </w:rPr>
  </w:style>
  <w:style w:type="paragraph" w:customStyle="1" w:styleId="Textoresumen">
    <w:name w:val="Texto resumen"/>
    <w:basedOn w:val="Textodecuerpo"/>
    <w:rsid w:val="001631F4"/>
    <w:pPr>
      <w:ind w:left="1080"/>
      <w:jc w:val="right"/>
    </w:pPr>
    <w:rPr>
      <w:i/>
      <w:iCs/>
    </w:rPr>
  </w:style>
  <w:style w:type="paragraph" w:customStyle="1" w:styleId="Enumeracin">
    <w:name w:val="Enumeración"/>
    <w:basedOn w:val="Textodecuerpo"/>
    <w:rsid w:val="001631F4"/>
    <w:pPr>
      <w:numPr>
        <w:numId w:val="3"/>
      </w:numPr>
      <w:tabs>
        <w:tab w:val="clear" w:pos="720"/>
        <w:tab w:val="num" w:pos="540"/>
      </w:tabs>
      <w:ind w:left="539" w:hanging="255"/>
    </w:pPr>
  </w:style>
  <w:style w:type="paragraph" w:customStyle="1" w:styleId="Numeracindetablasyfiguras">
    <w:name w:val="Numeración de tablas y figuras"/>
    <w:basedOn w:val="Textodecuerpo"/>
    <w:next w:val="Ttulodetablasyfiguras"/>
    <w:rsid w:val="001631F4"/>
    <w:pPr>
      <w:spacing w:after="0"/>
      <w:jc w:val="center"/>
    </w:pPr>
    <w:rPr>
      <w:caps/>
      <w:sz w:val="20"/>
    </w:rPr>
  </w:style>
  <w:style w:type="paragraph" w:customStyle="1" w:styleId="Ttulodetablasyfiguras">
    <w:name w:val="Título de tablas y figuras"/>
    <w:basedOn w:val="Textodecuerpo"/>
    <w:rsid w:val="001631F4"/>
    <w:pPr>
      <w:spacing w:before="0"/>
      <w:jc w:val="center"/>
    </w:pPr>
    <w:rPr>
      <w:b/>
      <w:bCs/>
      <w:sz w:val="20"/>
    </w:rPr>
  </w:style>
  <w:style w:type="paragraph" w:customStyle="1" w:styleId="Textodetablas">
    <w:name w:val="Texto de tablas"/>
    <w:basedOn w:val="Textodecuerpo"/>
    <w:rsid w:val="001631F4"/>
    <w:pPr>
      <w:spacing w:before="60" w:after="60"/>
      <w:jc w:val="center"/>
    </w:pPr>
    <w:rPr>
      <w:sz w:val="18"/>
    </w:rPr>
  </w:style>
  <w:style w:type="paragraph" w:styleId="Prrafodelista">
    <w:name w:val="List Paragraph"/>
    <w:basedOn w:val="Normal"/>
    <w:uiPriority w:val="34"/>
    <w:qFormat/>
    <w:rsid w:val="00695DB3"/>
    <w:pPr>
      <w:spacing w:after="200" w:line="276" w:lineRule="auto"/>
      <w:ind w:left="720"/>
      <w:contextualSpacing/>
    </w:pPr>
    <w:rPr>
      <w:rFonts w:ascii="Calibri" w:eastAsia="Calibri" w:hAnsi="Calibri"/>
      <w:sz w:val="22"/>
      <w:szCs w:val="22"/>
      <w:lang w:val="es-ES_tradnl" w:eastAsia="en-US"/>
    </w:rPr>
  </w:style>
  <w:style w:type="character" w:customStyle="1" w:styleId="TextonotapieCar">
    <w:name w:val="Texto nota pie Car"/>
    <w:basedOn w:val="Fuentedeprrafopredeter"/>
    <w:link w:val="Textonotapie"/>
    <w:uiPriority w:val="99"/>
    <w:semiHidden/>
    <w:rsid w:val="009D2EEA"/>
    <w:rPr>
      <w:sz w:val="18"/>
    </w:rPr>
  </w:style>
  <w:style w:type="paragraph" w:styleId="Epgrafe">
    <w:name w:val="caption"/>
    <w:basedOn w:val="Normal"/>
    <w:next w:val="Normal"/>
    <w:uiPriority w:val="35"/>
    <w:unhideWhenUsed/>
    <w:qFormat/>
    <w:rsid w:val="009D2EEA"/>
    <w:pPr>
      <w:spacing w:after="200" w:line="276" w:lineRule="auto"/>
    </w:pPr>
    <w:rPr>
      <w:rFonts w:ascii="Calibri" w:eastAsia="Calibri" w:hAnsi="Calibri"/>
      <w:b/>
      <w:bCs/>
      <w:sz w:val="20"/>
      <w:szCs w:val="20"/>
      <w:lang w:val="es-ES_tradnl" w:eastAsia="en-US"/>
    </w:rPr>
  </w:style>
  <w:style w:type="character" w:customStyle="1" w:styleId="longtext">
    <w:name w:val="long_text"/>
    <w:basedOn w:val="Fuentedeprrafopredeter"/>
    <w:rsid w:val="00B16EF0"/>
  </w:style>
  <w:style w:type="character" w:customStyle="1" w:styleId="hps">
    <w:name w:val="hps"/>
    <w:basedOn w:val="Fuentedeprrafopredeter"/>
    <w:rsid w:val="002D09D5"/>
  </w:style>
  <w:style w:type="paragraph" w:styleId="Textonotaalfinal">
    <w:name w:val="endnote text"/>
    <w:basedOn w:val="Normal"/>
    <w:link w:val="TextonotaalfinalCar"/>
    <w:rsid w:val="00154CF6"/>
    <w:rPr>
      <w:sz w:val="20"/>
      <w:szCs w:val="20"/>
    </w:rPr>
  </w:style>
  <w:style w:type="character" w:customStyle="1" w:styleId="TextonotaalfinalCar">
    <w:name w:val="Texto nota al final Car"/>
    <w:basedOn w:val="Fuentedeprrafopredeter"/>
    <w:link w:val="Textonotaalfinal"/>
    <w:rsid w:val="00154CF6"/>
  </w:style>
  <w:style w:type="character" w:styleId="Refdenotaalfinal">
    <w:name w:val="endnote reference"/>
    <w:basedOn w:val="Fuentedeprrafopredeter"/>
    <w:rsid w:val="00154CF6"/>
    <w:rPr>
      <w:vertAlign w:val="superscript"/>
    </w:rPr>
  </w:style>
</w:styles>
</file>

<file path=word/webSettings.xml><?xml version="1.0" encoding="utf-8"?>
<w:webSettings xmlns:r="http://schemas.openxmlformats.org/officeDocument/2006/relationships" xmlns:w="http://schemas.openxmlformats.org/wordprocessingml/2006/main">
  <w:divs>
    <w:div w:id="213320087">
      <w:bodyDiv w:val="1"/>
      <w:marLeft w:val="0"/>
      <w:marRight w:val="0"/>
      <w:marTop w:val="0"/>
      <w:marBottom w:val="0"/>
      <w:divBdr>
        <w:top w:val="none" w:sz="0" w:space="0" w:color="auto"/>
        <w:left w:val="none" w:sz="0" w:space="0" w:color="auto"/>
        <w:bottom w:val="none" w:sz="0" w:space="0" w:color="auto"/>
        <w:right w:val="none" w:sz="0" w:space="0" w:color="auto"/>
      </w:divBdr>
    </w:div>
    <w:div w:id="1213494570">
      <w:bodyDiv w:val="1"/>
      <w:marLeft w:val="0"/>
      <w:marRight w:val="0"/>
      <w:marTop w:val="0"/>
      <w:marBottom w:val="0"/>
      <w:divBdr>
        <w:top w:val="none" w:sz="0" w:space="0" w:color="auto"/>
        <w:left w:val="none" w:sz="0" w:space="0" w:color="auto"/>
        <w:bottom w:val="none" w:sz="0" w:space="0" w:color="auto"/>
        <w:right w:val="none" w:sz="0" w:space="0" w:color="auto"/>
      </w:divBdr>
    </w:div>
    <w:div w:id="1539006543">
      <w:bodyDiv w:val="1"/>
      <w:marLeft w:val="0"/>
      <w:marRight w:val="0"/>
      <w:marTop w:val="0"/>
      <w:marBottom w:val="0"/>
      <w:divBdr>
        <w:top w:val="none" w:sz="0" w:space="0" w:color="auto"/>
        <w:left w:val="none" w:sz="0" w:space="0" w:color="auto"/>
        <w:bottom w:val="none" w:sz="0" w:space="0" w:color="auto"/>
        <w:right w:val="none" w:sz="0" w:space="0" w:color="auto"/>
      </w:divBdr>
    </w:div>
    <w:div w:id="17025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427B-1E98-47CB-82E4-77A30287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3542</Words>
  <Characters>20436</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No tiene título</vt:lpstr>
    </vt:vector>
  </TitlesOfParts>
  <Company>UPV</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tiene título</dc:title>
  <dc:creator>Departamento de Dirección y Gestión de Empresas</dc:creator>
  <cp:lastModifiedBy>macaran</cp:lastModifiedBy>
  <cp:revision>2</cp:revision>
  <cp:lastPrinted>2012-11-26T08:56:00Z</cp:lastPrinted>
  <dcterms:created xsi:type="dcterms:W3CDTF">2012-12-10T16:42:00Z</dcterms:created>
  <dcterms:modified xsi:type="dcterms:W3CDTF">2012-12-10T16:42:00Z</dcterms:modified>
</cp:coreProperties>
</file>