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273BC" w14:textId="7B3CDD5D" w:rsidR="003C184F" w:rsidRPr="002B084F" w:rsidRDefault="00236DF2" w:rsidP="00050AFF">
      <w:pPr>
        <w:pStyle w:val="Ttulo1"/>
        <w:jc w:val="center"/>
        <w:rPr>
          <w:lang w:val="es-ES"/>
        </w:rPr>
      </w:pPr>
      <w:bookmarkStart w:id="0" w:name="_GoBack"/>
      <w:bookmarkEnd w:id="0"/>
      <w:r>
        <w:rPr>
          <w:lang w:val="es-ES"/>
        </w:rPr>
        <w:t>Modelo de gobierno corporativo y estructura financiera en las cooperativas agrarias españolas: un estudio empírico</w:t>
      </w:r>
    </w:p>
    <w:p w14:paraId="780EB05C" w14:textId="563BC344" w:rsidR="00806007" w:rsidRPr="002B084F" w:rsidRDefault="00236DF2" w:rsidP="00F272E1">
      <w:pPr>
        <w:pStyle w:val="Autor1"/>
        <w:rPr>
          <w:lang w:val="es-ES"/>
        </w:rPr>
      </w:pPr>
      <w:r>
        <w:rPr>
          <w:lang w:val="es-ES"/>
        </w:rPr>
        <w:t xml:space="preserve">Mateos-Ronco, </w:t>
      </w:r>
      <w:proofErr w:type="spellStart"/>
      <w:r>
        <w:rPr>
          <w:lang w:val="es-ES"/>
        </w:rPr>
        <w:t>Alicia</w:t>
      </w:r>
      <w:r w:rsidR="006E6764" w:rsidRPr="002B084F">
        <w:rPr>
          <w:vertAlign w:val="superscript"/>
          <w:lang w:val="es-ES"/>
        </w:rPr>
        <w:t>a</w:t>
      </w:r>
      <w:proofErr w:type="spellEnd"/>
      <w:r w:rsidR="00D6721C">
        <w:rPr>
          <w:lang w:val="es-ES"/>
        </w:rPr>
        <w:t>;</w:t>
      </w:r>
      <w:r w:rsidR="006E6764" w:rsidRPr="002B084F">
        <w:rPr>
          <w:lang w:val="es-ES"/>
        </w:rPr>
        <w:t xml:space="preserve"> </w:t>
      </w:r>
      <w:r>
        <w:rPr>
          <w:lang w:val="es-ES"/>
        </w:rPr>
        <w:t xml:space="preserve">Guzmán Asunción, </w:t>
      </w:r>
      <w:proofErr w:type="spellStart"/>
      <w:r>
        <w:rPr>
          <w:lang w:val="es-ES"/>
        </w:rPr>
        <w:t>Sandra</w:t>
      </w:r>
      <w:r w:rsidR="006E6764" w:rsidRPr="002B084F">
        <w:rPr>
          <w:vertAlign w:val="superscript"/>
          <w:lang w:val="es-ES"/>
        </w:rPr>
        <w:t>b</w:t>
      </w:r>
      <w:proofErr w:type="spellEnd"/>
    </w:p>
    <w:p w14:paraId="6690BB0C" w14:textId="4748A110" w:rsidR="00806007" w:rsidRPr="00236DF2" w:rsidRDefault="006E6764" w:rsidP="00F272E1">
      <w:pPr>
        <w:spacing w:after="240"/>
        <w:rPr>
          <w:rStyle w:val="Autor2"/>
        </w:rPr>
      </w:pPr>
      <w:proofErr w:type="spellStart"/>
      <w:r w:rsidRPr="00F272E1">
        <w:rPr>
          <w:rStyle w:val="Autor2"/>
          <w:vertAlign w:val="superscript"/>
        </w:rPr>
        <w:t>a</w:t>
      </w:r>
      <w:r w:rsidR="00236DF2">
        <w:rPr>
          <w:rStyle w:val="Autor2"/>
        </w:rPr>
        <w:t>Centro</w:t>
      </w:r>
      <w:proofErr w:type="spellEnd"/>
      <w:r w:rsidR="00236DF2">
        <w:rPr>
          <w:rStyle w:val="Autor2"/>
        </w:rPr>
        <w:t xml:space="preserve"> de Investigación en Gestión de Empresas (CEGEA) – </w:t>
      </w:r>
      <w:proofErr w:type="spellStart"/>
      <w:r w:rsidR="00236DF2">
        <w:rPr>
          <w:rStyle w:val="Autor2"/>
        </w:rPr>
        <w:t>Universitat</w:t>
      </w:r>
      <w:proofErr w:type="spellEnd"/>
      <w:r w:rsidR="00236DF2">
        <w:rPr>
          <w:rStyle w:val="Autor2"/>
        </w:rPr>
        <w:t xml:space="preserve"> </w:t>
      </w:r>
      <w:proofErr w:type="spellStart"/>
      <w:r w:rsidR="00236DF2">
        <w:rPr>
          <w:rStyle w:val="Autor2"/>
        </w:rPr>
        <w:t>Politècnica</w:t>
      </w:r>
      <w:proofErr w:type="spellEnd"/>
      <w:r w:rsidR="00236DF2">
        <w:rPr>
          <w:rStyle w:val="Autor2"/>
        </w:rPr>
        <w:t xml:space="preserve"> de </w:t>
      </w:r>
      <w:proofErr w:type="spellStart"/>
      <w:r w:rsidR="00236DF2">
        <w:rPr>
          <w:rStyle w:val="Autor2"/>
        </w:rPr>
        <w:t>València</w:t>
      </w:r>
      <w:proofErr w:type="spellEnd"/>
      <w:r w:rsidR="00236DF2">
        <w:rPr>
          <w:rStyle w:val="Autor2"/>
        </w:rPr>
        <w:t xml:space="preserve"> – Camino de Vera, s/n – 46022 Valencia (</w:t>
      </w:r>
      <w:proofErr w:type="spellStart"/>
      <w:r w:rsidR="00236DF2">
        <w:rPr>
          <w:rStyle w:val="Autor2"/>
        </w:rPr>
        <w:t>Spain</w:t>
      </w:r>
      <w:proofErr w:type="spellEnd"/>
      <w:r w:rsidR="00236DF2">
        <w:rPr>
          <w:rStyle w:val="Autor2"/>
        </w:rPr>
        <w:t>) – amateos@cegea.upv.es</w:t>
      </w:r>
      <w:r w:rsidRPr="00F272E1">
        <w:rPr>
          <w:rStyle w:val="Autor2"/>
        </w:rPr>
        <w:t xml:space="preserve">, </w:t>
      </w:r>
      <w:r w:rsidRPr="00F272E1">
        <w:rPr>
          <w:rStyle w:val="Autor2"/>
          <w:vertAlign w:val="superscript"/>
        </w:rPr>
        <w:t>b</w:t>
      </w:r>
      <w:r w:rsidR="00236DF2">
        <w:rPr>
          <w:rStyle w:val="Autor2"/>
        </w:rPr>
        <w:t xml:space="preserve"> Facultad de Administración y Dirección de Empresas – </w:t>
      </w:r>
      <w:proofErr w:type="spellStart"/>
      <w:r w:rsidR="00236DF2">
        <w:rPr>
          <w:rStyle w:val="Autor2"/>
        </w:rPr>
        <w:t>Universitat</w:t>
      </w:r>
      <w:proofErr w:type="spellEnd"/>
      <w:r w:rsidR="00236DF2">
        <w:rPr>
          <w:rStyle w:val="Autor2"/>
        </w:rPr>
        <w:t xml:space="preserve"> Politécnica de Valencia – Camino de Vera, s/n – 46022 Valencia (</w:t>
      </w:r>
      <w:proofErr w:type="spellStart"/>
      <w:r w:rsidR="00236DF2">
        <w:rPr>
          <w:rStyle w:val="Autor2"/>
        </w:rPr>
        <w:t>Spain</w:t>
      </w:r>
      <w:proofErr w:type="spellEnd"/>
      <w:r w:rsidR="00236DF2">
        <w:rPr>
          <w:rStyle w:val="Autor2"/>
        </w:rPr>
        <w:t>) – sanguzas@ade.upv.es</w:t>
      </w:r>
    </w:p>
    <w:p w14:paraId="4857B635" w14:textId="77777777" w:rsidR="00236DF2" w:rsidRDefault="00236DF2" w:rsidP="00F272E1">
      <w:pPr>
        <w:pStyle w:val="TtuloAbstract"/>
        <w:rPr>
          <w:lang w:val="es-ES"/>
        </w:rPr>
      </w:pPr>
    </w:p>
    <w:p w14:paraId="089BC7D0" w14:textId="77777777" w:rsidR="005175C0" w:rsidRPr="00543BF3" w:rsidRDefault="005175C0" w:rsidP="00F272E1">
      <w:pPr>
        <w:pStyle w:val="TtuloAbstract"/>
        <w:rPr>
          <w:lang w:val="es-ES"/>
        </w:rPr>
      </w:pPr>
      <w:r w:rsidRPr="00543BF3">
        <w:rPr>
          <w:lang w:val="es-ES"/>
        </w:rPr>
        <w:t>Resumen</w:t>
      </w:r>
    </w:p>
    <w:p w14:paraId="0148716E" w14:textId="77777777" w:rsidR="00236DF2" w:rsidRPr="00236DF2" w:rsidRDefault="00236DF2" w:rsidP="00236DF2">
      <w:pPr>
        <w:pStyle w:val="Abstract"/>
        <w:rPr>
          <w:lang w:val="es-ES"/>
        </w:rPr>
      </w:pPr>
      <w:r w:rsidRPr="00236DF2">
        <w:rPr>
          <w:lang w:val="es-ES"/>
        </w:rPr>
        <w:t xml:space="preserve">Este trabajo analiza los factores determinantes de la estructura financiera en las cooperativas agrarias y su efecto en las variables clave de su modelo de gobierno corporativo. Se utiliza la información </w:t>
      </w:r>
      <w:proofErr w:type="gramStart"/>
      <w:r w:rsidRPr="00236DF2">
        <w:rPr>
          <w:lang w:val="es-ES"/>
        </w:rPr>
        <w:t>económico</w:t>
      </w:r>
      <w:proofErr w:type="gramEnd"/>
      <w:r w:rsidRPr="00236DF2">
        <w:rPr>
          <w:lang w:val="es-ES"/>
        </w:rPr>
        <w:t xml:space="preserve"> financiera de una muestra de cooperativas agrarias españolas, calculando las variables que </w:t>
      </w:r>
      <w:proofErr w:type="spellStart"/>
      <w:r w:rsidRPr="00236DF2">
        <w:rPr>
          <w:lang w:val="es-ES"/>
        </w:rPr>
        <w:t>modelizan</w:t>
      </w:r>
      <w:proofErr w:type="spellEnd"/>
      <w:r w:rsidRPr="00236DF2">
        <w:rPr>
          <w:lang w:val="es-ES"/>
        </w:rPr>
        <w:t xml:space="preserve"> las hipótesis de la investigación. Se estiman dos modelos de regresión que explican respectivamente el endeudamiento total y el endeudamiento negociado. Destaca la elevada capacidad predictiva conseguida para el primero. Los resultados evidencian una mayor aproximación de estas entidades a la Teoría de la Jerarquización Financiera en sus decisiones de financiación: las políticas de maximización de las liquidaciones a los socios en detrimento de la autofinanciación de la entidad y las restricciones del capital social cooperativo abocan a las cooperativas a la utilización de la deuda para financiar su crecimiento. Los resultados son coherentes con la investigación previa en otros tipos de empresas al señalar relaciones positivas entre el endeudamiento de las cooperativas y factores como la inversión en activos a largo plazo</w:t>
      </w:r>
      <w:proofErr w:type="gramStart"/>
      <w:r w:rsidRPr="00236DF2">
        <w:rPr>
          <w:lang w:val="es-ES"/>
        </w:rPr>
        <w:t>,  la</w:t>
      </w:r>
      <w:proofErr w:type="gramEnd"/>
      <w:r w:rsidRPr="00236DF2">
        <w:rPr>
          <w:lang w:val="es-ES"/>
        </w:rPr>
        <w:t xml:space="preserve"> liquidez o el tamaño de la entidad en términos de volumen de negocio por socio.</w:t>
      </w:r>
    </w:p>
    <w:p w14:paraId="67F5EF76" w14:textId="77777777" w:rsidR="00236DF2" w:rsidRPr="00543BF3" w:rsidRDefault="00236DF2" w:rsidP="00F272E1">
      <w:pPr>
        <w:pStyle w:val="Abstract"/>
        <w:rPr>
          <w:lang w:val="es-ES"/>
        </w:rPr>
      </w:pPr>
    </w:p>
    <w:p w14:paraId="3D6ECF7B" w14:textId="2CFC3D71" w:rsidR="005175C0" w:rsidRPr="00543BF3" w:rsidRDefault="005175C0" w:rsidP="00F272E1">
      <w:pPr>
        <w:pStyle w:val="Abstract"/>
        <w:rPr>
          <w:lang w:val="es-ES"/>
        </w:rPr>
      </w:pPr>
      <w:r w:rsidRPr="00543BF3">
        <w:rPr>
          <w:b/>
          <w:lang w:val="es-ES"/>
        </w:rPr>
        <w:t>Palabras clave:</w:t>
      </w:r>
      <w:r w:rsidRPr="00543BF3">
        <w:rPr>
          <w:lang w:val="es-ES"/>
        </w:rPr>
        <w:t xml:space="preserve"> </w:t>
      </w:r>
      <w:r w:rsidR="00236DF2">
        <w:rPr>
          <w:lang w:val="es-ES"/>
        </w:rPr>
        <w:t>cooperativas agrarias; decisiones de financiación; endeudamiento; estructura de capital; información económico – financiera; análisis de regresión.</w:t>
      </w:r>
      <w:r w:rsidR="00543BF3" w:rsidRPr="00543BF3">
        <w:rPr>
          <w:lang w:val="es-ES"/>
        </w:rPr>
        <w:t xml:space="preserve"> </w:t>
      </w:r>
    </w:p>
    <w:p w14:paraId="5F1A8470" w14:textId="7944F124" w:rsidR="00FE6A59" w:rsidRDefault="00CB37C8" w:rsidP="00CB37C8">
      <w:pPr>
        <w:pStyle w:val="Ttulo2"/>
        <w:tabs>
          <w:tab w:val="left" w:pos="1198"/>
        </w:tabs>
        <w:rPr>
          <w:lang w:val="es-ES"/>
        </w:rPr>
      </w:pPr>
      <w:r>
        <w:rPr>
          <w:lang w:val="es-ES"/>
        </w:rPr>
        <w:tab/>
      </w:r>
    </w:p>
    <w:p w14:paraId="1757A5F7" w14:textId="77777777" w:rsidR="001608B1" w:rsidRDefault="001608B1" w:rsidP="001608B1">
      <w:pPr>
        <w:rPr>
          <w:lang w:val="es-ES"/>
        </w:rPr>
      </w:pPr>
    </w:p>
    <w:p w14:paraId="1886B014" w14:textId="77777777" w:rsidR="001608B1" w:rsidRPr="001608B1" w:rsidRDefault="001608B1" w:rsidP="001608B1">
      <w:pPr>
        <w:rPr>
          <w:lang w:val="es-ES"/>
        </w:rPr>
      </w:pPr>
    </w:p>
    <w:p w14:paraId="36126EFB" w14:textId="77777777" w:rsidR="0041201F" w:rsidRDefault="0041201F">
      <w:pPr>
        <w:spacing w:after="0" w:line="240" w:lineRule="auto"/>
        <w:jc w:val="left"/>
        <w:rPr>
          <w:rFonts w:cs="Arial"/>
          <w:b/>
          <w:bCs/>
          <w:iCs/>
          <w:sz w:val="22"/>
          <w:szCs w:val="22"/>
          <w:lang w:val="es-ES"/>
        </w:rPr>
      </w:pPr>
      <w:r>
        <w:rPr>
          <w:lang w:val="es-ES"/>
        </w:rPr>
        <w:br w:type="page"/>
      </w:r>
    </w:p>
    <w:p w14:paraId="021D9D5A" w14:textId="39523E3F" w:rsidR="003C184F" w:rsidRPr="00543BF3" w:rsidRDefault="00AE7E9B" w:rsidP="00F272E1">
      <w:pPr>
        <w:pStyle w:val="Ttulo2"/>
        <w:rPr>
          <w:lang w:val="es-ES"/>
        </w:rPr>
      </w:pPr>
      <w:r>
        <w:rPr>
          <w:lang w:val="es-ES"/>
        </w:rPr>
        <w:lastRenderedPageBreak/>
        <w:t xml:space="preserve">1. </w:t>
      </w:r>
      <w:r w:rsidR="00686815" w:rsidRPr="00543BF3">
        <w:rPr>
          <w:lang w:val="es-ES"/>
        </w:rPr>
        <w:t>Introducción</w:t>
      </w:r>
    </w:p>
    <w:p w14:paraId="524D6393" w14:textId="0984E085" w:rsidR="00236DF2" w:rsidRPr="00236DF2" w:rsidRDefault="00236DF2" w:rsidP="00236DF2">
      <w:pPr>
        <w:rPr>
          <w:lang w:val="es-ES"/>
        </w:rPr>
      </w:pPr>
      <w:r w:rsidRPr="00236DF2">
        <w:rPr>
          <w:lang w:val="es-ES"/>
        </w:rPr>
        <w:t>Las cooperativas agrarias emergieron como respuesta a la necesidad de fortalecer la posición económica de los productores en los mercados agroalimentarios y en las últimas décadas han incrementado su posición en la cadena de valor alimentaria en muchos de los países del entorno europeo. El desarrollo de cooperativas agrarias ha sido alentado desde las instituciones de la Unión Europea (UE), constituyendo un claro objetivo de las políticas públicas. El dinámico desarrollo de las cooperativas en varios sectores de la industria alimentaria europea en la última década debe atribuirse al hecho de haber conseguido dominar o capturar significantes cuotas de sus respectivos mercados domésticos, incrementando el control sobre aspectos cruciales relativos a la calidad y cantidad de sus productos, a diferentes niveles de la cadena de producción y procesado de éstos (</w:t>
      </w:r>
      <w:proofErr w:type="spellStart"/>
      <w:r w:rsidRPr="00236DF2">
        <w:rPr>
          <w:lang w:val="es-ES"/>
        </w:rPr>
        <w:t>Höhler</w:t>
      </w:r>
      <w:proofErr w:type="spellEnd"/>
      <w:r w:rsidRPr="00236DF2">
        <w:rPr>
          <w:lang w:val="es-ES"/>
        </w:rPr>
        <w:t xml:space="preserve"> y </w:t>
      </w:r>
      <w:proofErr w:type="spellStart"/>
      <w:r w:rsidRPr="00236DF2">
        <w:rPr>
          <w:lang w:val="es-ES"/>
        </w:rPr>
        <w:t>Kühl</w:t>
      </w:r>
      <w:proofErr w:type="spellEnd"/>
      <w:r w:rsidRPr="00236DF2">
        <w:rPr>
          <w:lang w:val="es-ES"/>
        </w:rPr>
        <w:t>, 2014). De esta forma consiguen una reducción de los costes de transacción en las relaciones comerciales entre los productores y sus clientes, actuando como coordinadoras de la garantía de calidad en la cadena de suministro (</w:t>
      </w:r>
      <w:proofErr w:type="spellStart"/>
      <w:r w:rsidRPr="00236DF2">
        <w:rPr>
          <w:lang w:val="es-ES"/>
        </w:rPr>
        <w:t>Bijman</w:t>
      </w:r>
      <w:proofErr w:type="spellEnd"/>
      <w:r w:rsidRPr="00236DF2">
        <w:rPr>
          <w:lang w:val="es-ES"/>
        </w:rPr>
        <w:t xml:space="preserve"> e </w:t>
      </w:r>
      <w:proofErr w:type="spellStart"/>
      <w:r w:rsidRPr="00236DF2">
        <w:rPr>
          <w:lang w:val="es-ES"/>
        </w:rPr>
        <w:t>Iliopoulos</w:t>
      </w:r>
      <w:proofErr w:type="spellEnd"/>
      <w:r w:rsidRPr="00236DF2">
        <w:rPr>
          <w:lang w:val="es-ES"/>
        </w:rPr>
        <w:t>, 2014).</w:t>
      </w:r>
    </w:p>
    <w:p w14:paraId="7DF1D697" w14:textId="77777777" w:rsidR="00236DF2" w:rsidRPr="00236DF2" w:rsidRDefault="00236DF2" w:rsidP="00236DF2">
      <w:pPr>
        <w:rPr>
          <w:lang w:val="es-ES"/>
        </w:rPr>
      </w:pPr>
      <w:r w:rsidRPr="00236DF2">
        <w:rPr>
          <w:lang w:val="es-ES"/>
        </w:rPr>
        <w:t xml:space="preserve">El análisis de la estructura de capital en la empresa constituye uno de los aspectos de mayor relevancia en el ámbito de las finanzas corporativas. Sin embargo, la investigación no ha sido capaz de formular una teoría universal sobre la estructura financiera (Harris and </w:t>
      </w:r>
      <w:proofErr w:type="spellStart"/>
      <w:r w:rsidRPr="00236DF2">
        <w:rPr>
          <w:lang w:val="es-ES"/>
        </w:rPr>
        <w:t>Raviv</w:t>
      </w:r>
      <w:proofErr w:type="spellEnd"/>
      <w:r w:rsidRPr="00236DF2">
        <w:rPr>
          <w:lang w:val="es-ES"/>
        </w:rPr>
        <w:t>, 1990; Myers, 2001) o los factores que influyen en la misma, existiendo teorías parciales formuladas a partir de trabajos empíricos que tratan de relacionar dicha estructura con variables de distinta naturaleza. La literatura internacional revela la inexistencia de resultados concluyentes que apoyen de forma unívoca la aceptación o el rechazo generalizado de ninguna de ellas (</w:t>
      </w:r>
      <w:proofErr w:type="spellStart"/>
      <w:r w:rsidRPr="00236DF2">
        <w:rPr>
          <w:lang w:val="es-ES"/>
        </w:rPr>
        <w:t>Hol</w:t>
      </w:r>
      <w:proofErr w:type="spellEnd"/>
      <w:r w:rsidRPr="00236DF2">
        <w:rPr>
          <w:lang w:val="es-ES"/>
        </w:rPr>
        <w:t xml:space="preserve"> and Van der </w:t>
      </w:r>
      <w:proofErr w:type="spellStart"/>
      <w:r w:rsidRPr="00236DF2">
        <w:rPr>
          <w:lang w:val="es-ES"/>
        </w:rPr>
        <w:t>Wijst</w:t>
      </w:r>
      <w:proofErr w:type="spellEnd"/>
      <w:r w:rsidRPr="00236DF2">
        <w:rPr>
          <w:lang w:val="es-ES"/>
        </w:rPr>
        <w:t xml:space="preserve">, 2008). Ello ha llevado a un consenso en relación a la especificidad de las decisiones de financiación de una organización y las variables que las condicionan, determinadas por las características de la entidad, su trayectoria o las condiciones del entorno en que opera, entre otros aspectos. A nivel microeconómico, las repercusiones de los diferentes tipos de financiación podrían variar según la situación económica del entorno (Levy and </w:t>
      </w:r>
      <w:proofErr w:type="spellStart"/>
      <w:r w:rsidRPr="00236DF2">
        <w:rPr>
          <w:lang w:val="es-ES"/>
        </w:rPr>
        <w:t>Hennessy</w:t>
      </w:r>
      <w:proofErr w:type="spellEnd"/>
      <w:r w:rsidRPr="00236DF2">
        <w:rPr>
          <w:lang w:val="es-ES"/>
        </w:rPr>
        <w:t xml:space="preserve">, 2007; Frank and </w:t>
      </w:r>
      <w:proofErr w:type="spellStart"/>
      <w:r w:rsidRPr="00236DF2">
        <w:rPr>
          <w:lang w:val="es-ES"/>
        </w:rPr>
        <w:t>Goyal</w:t>
      </w:r>
      <w:proofErr w:type="spellEnd"/>
      <w:r w:rsidRPr="00236DF2">
        <w:rPr>
          <w:lang w:val="es-ES"/>
        </w:rPr>
        <w:t>, 2009) o la tipología de empresa (</w:t>
      </w:r>
      <w:proofErr w:type="spellStart"/>
      <w:r w:rsidRPr="00236DF2">
        <w:rPr>
          <w:lang w:val="es-ES"/>
        </w:rPr>
        <w:t>Wald</w:t>
      </w:r>
      <w:proofErr w:type="spellEnd"/>
      <w:r w:rsidRPr="00236DF2">
        <w:rPr>
          <w:lang w:val="es-ES"/>
        </w:rPr>
        <w:t xml:space="preserve">, 1999). </w:t>
      </w:r>
    </w:p>
    <w:p w14:paraId="41C2570A" w14:textId="77777777" w:rsidR="00236DF2" w:rsidRPr="00236DF2" w:rsidRDefault="00236DF2" w:rsidP="00236DF2">
      <w:pPr>
        <w:rPr>
          <w:lang w:val="es-ES"/>
        </w:rPr>
      </w:pPr>
      <w:r w:rsidRPr="00236DF2">
        <w:rPr>
          <w:lang w:val="es-ES"/>
        </w:rPr>
        <w:t xml:space="preserve">Las particularidades organizativas y ciertos rasgos sustantivos de las cooperativas agrarias, como la especial configuración de su capital social, una cierta tendencia a la </w:t>
      </w:r>
      <w:proofErr w:type="spellStart"/>
      <w:r w:rsidRPr="00236DF2">
        <w:rPr>
          <w:lang w:val="es-ES"/>
        </w:rPr>
        <w:t>infracapitalización</w:t>
      </w:r>
      <w:proofErr w:type="spellEnd"/>
      <w:r w:rsidRPr="00236DF2">
        <w:rPr>
          <w:lang w:val="es-ES"/>
        </w:rPr>
        <w:t xml:space="preserve"> o las dificultades de acceso a determinadas fuentes de financiación propias de sociedades capitalistas, podrían tener efecto en la facilidad de acceso al crédito o el coste del mismo, condicionando con ello sus decisiones financieras. Sin embargo, estas entidades han permanecido tradicionalmente al margen de los estudios empíricos sobre las decisiones de financiación ya que la investigación previa se ha centrado mayoritariamente en entidades capitalistas de gran tamaño y con una gran información contable disponible (</w:t>
      </w:r>
      <w:proofErr w:type="spellStart"/>
      <w:r w:rsidRPr="00236DF2">
        <w:rPr>
          <w:lang w:val="es-ES"/>
        </w:rPr>
        <w:t>Huyghebaert</w:t>
      </w:r>
      <w:proofErr w:type="spellEnd"/>
      <w:r w:rsidRPr="00236DF2">
        <w:rPr>
          <w:lang w:val="es-ES"/>
        </w:rPr>
        <w:t xml:space="preserve"> and van de </w:t>
      </w:r>
      <w:proofErr w:type="spellStart"/>
      <w:r w:rsidRPr="00236DF2">
        <w:rPr>
          <w:lang w:val="es-ES"/>
        </w:rPr>
        <w:t>Gucht</w:t>
      </w:r>
      <w:proofErr w:type="spellEnd"/>
      <w:r w:rsidRPr="00236DF2">
        <w:rPr>
          <w:lang w:val="es-ES"/>
        </w:rPr>
        <w:t xml:space="preserve">, 2007; Cole, 2013). La necesidad de abordar estudios empíricos que permitan mejorar el conocimiento de los factores que determinan las decisiones de financiación de las cooperativas agrarias se justifica también por su contribución económica ya que estos sujetos constituyen uno de los más relevantes representantes de la Economía Social. La ausencia de estudios específicos que evalúen los determinantes de las decisiones de financiación en cooperativas agrarias y qué efectos tienen sobre éstas algunos factores que se han revelado clave en otro tipo de organizaciones empresariales fundamenta esta investigación. El trabajo contribuye al conocimiento científico sobre la estructura de capital en la empresa aportando evidencia empírica sobre un sujeto jurídico específico y no suficientemente explorado. Algunos estudios previos han señalado la extrema dificultad que supone testar cuál de las teorías financieras explica mejor la estructura de capital en la empresa, por lo que los trabajos empíricos suelen centrarse en determinar qué factores son capaces de explicarla de forma más fiable (Frank and </w:t>
      </w:r>
      <w:proofErr w:type="spellStart"/>
      <w:r w:rsidRPr="00236DF2">
        <w:rPr>
          <w:lang w:val="es-ES"/>
        </w:rPr>
        <w:t>Goyal</w:t>
      </w:r>
      <w:proofErr w:type="spellEnd"/>
      <w:r w:rsidRPr="00236DF2">
        <w:rPr>
          <w:lang w:val="es-ES"/>
        </w:rPr>
        <w:t>, 2009; Cole, 2013). El presente trabajo plantea los siguientes objetivos:</w:t>
      </w:r>
    </w:p>
    <w:p w14:paraId="579201F5" w14:textId="77777777" w:rsidR="00236DF2" w:rsidRPr="00236DF2" w:rsidRDefault="00236DF2" w:rsidP="00AE7E9B">
      <w:pPr>
        <w:pStyle w:val="Prrafodelista"/>
        <w:numPr>
          <w:ilvl w:val="0"/>
          <w:numId w:val="23"/>
        </w:numPr>
        <w:spacing w:before="120" w:line="240" w:lineRule="auto"/>
        <w:ind w:left="1066" w:hanging="357"/>
        <w:contextualSpacing w:val="0"/>
      </w:pPr>
      <w:proofErr w:type="spellStart"/>
      <w:r w:rsidRPr="00236DF2">
        <w:t>Comprobar</w:t>
      </w:r>
      <w:proofErr w:type="spellEnd"/>
      <w:r w:rsidRPr="00236DF2">
        <w:t xml:space="preserve"> en </w:t>
      </w:r>
      <w:proofErr w:type="spellStart"/>
      <w:r w:rsidRPr="00236DF2">
        <w:t>qué</w:t>
      </w:r>
      <w:proofErr w:type="spellEnd"/>
      <w:r w:rsidRPr="00236DF2">
        <w:t xml:space="preserve"> </w:t>
      </w:r>
      <w:proofErr w:type="spellStart"/>
      <w:r w:rsidRPr="00236DF2">
        <w:t>medida</w:t>
      </w:r>
      <w:proofErr w:type="spellEnd"/>
      <w:r w:rsidRPr="00236DF2">
        <w:t xml:space="preserve"> </w:t>
      </w:r>
      <w:proofErr w:type="spellStart"/>
      <w:r w:rsidRPr="00236DF2">
        <w:t>las</w:t>
      </w:r>
      <w:proofErr w:type="spellEnd"/>
      <w:r w:rsidRPr="00236DF2">
        <w:t xml:space="preserve"> </w:t>
      </w:r>
      <w:proofErr w:type="spellStart"/>
      <w:r w:rsidRPr="00236DF2">
        <w:t>características</w:t>
      </w:r>
      <w:proofErr w:type="spellEnd"/>
      <w:r w:rsidRPr="00236DF2">
        <w:t xml:space="preserve"> </w:t>
      </w:r>
      <w:proofErr w:type="spellStart"/>
      <w:r w:rsidRPr="00236DF2">
        <w:t>distintivas</w:t>
      </w:r>
      <w:proofErr w:type="spellEnd"/>
      <w:r w:rsidRPr="00236DF2">
        <w:t xml:space="preserve"> de </w:t>
      </w:r>
      <w:proofErr w:type="spellStart"/>
      <w:r w:rsidRPr="00236DF2">
        <w:t>las</w:t>
      </w:r>
      <w:proofErr w:type="spellEnd"/>
      <w:r w:rsidRPr="00236DF2">
        <w:t xml:space="preserve"> </w:t>
      </w:r>
      <w:proofErr w:type="spellStart"/>
      <w:r w:rsidRPr="00236DF2">
        <w:t>cooperativas</w:t>
      </w:r>
      <w:proofErr w:type="spellEnd"/>
      <w:r w:rsidRPr="00236DF2">
        <w:t xml:space="preserve"> </w:t>
      </w:r>
      <w:proofErr w:type="spellStart"/>
      <w:r w:rsidRPr="00236DF2">
        <w:t>agrarias</w:t>
      </w:r>
      <w:proofErr w:type="spellEnd"/>
      <w:r w:rsidRPr="00236DF2">
        <w:t xml:space="preserve"> </w:t>
      </w:r>
      <w:proofErr w:type="spellStart"/>
      <w:r w:rsidRPr="00236DF2">
        <w:t>afectan</w:t>
      </w:r>
      <w:proofErr w:type="spellEnd"/>
      <w:r w:rsidRPr="00236DF2">
        <w:t xml:space="preserve"> a </w:t>
      </w:r>
      <w:proofErr w:type="spellStart"/>
      <w:r w:rsidRPr="00236DF2">
        <w:t>sus</w:t>
      </w:r>
      <w:proofErr w:type="spellEnd"/>
      <w:r w:rsidRPr="00236DF2">
        <w:t xml:space="preserve"> </w:t>
      </w:r>
      <w:proofErr w:type="spellStart"/>
      <w:r w:rsidRPr="00236DF2">
        <w:t>decisiones</w:t>
      </w:r>
      <w:proofErr w:type="spellEnd"/>
      <w:r w:rsidRPr="00236DF2">
        <w:t xml:space="preserve"> de </w:t>
      </w:r>
      <w:proofErr w:type="spellStart"/>
      <w:r w:rsidRPr="00236DF2">
        <w:t>financiación</w:t>
      </w:r>
      <w:proofErr w:type="spellEnd"/>
      <w:r w:rsidRPr="00236DF2">
        <w:t>.</w:t>
      </w:r>
    </w:p>
    <w:p w14:paraId="1762005A" w14:textId="77777777" w:rsidR="00236DF2" w:rsidRPr="00236DF2" w:rsidRDefault="00236DF2" w:rsidP="00AE7E9B">
      <w:pPr>
        <w:pStyle w:val="Prrafodelista"/>
        <w:numPr>
          <w:ilvl w:val="0"/>
          <w:numId w:val="23"/>
        </w:numPr>
        <w:spacing w:before="120" w:line="240" w:lineRule="auto"/>
        <w:ind w:left="1066" w:hanging="357"/>
        <w:contextualSpacing w:val="0"/>
      </w:pPr>
      <w:proofErr w:type="spellStart"/>
      <w:r w:rsidRPr="00236DF2">
        <w:t>Evaluar</w:t>
      </w:r>
      <w:proofErr w:type="spellEnd"/>
      <w:r w:rsidRPr="00236DF2">
        <w:t xml:space="preserve"> de forma </w:t>
      </w:r>
      <w:proofErr w:type="spellStart"/>
      <w:r w:rsidRPr="00236DF2">
        <w:t>empírica</w:t>
      </w:r>
      <w:proofErr w:type="spellEnd"/>
      <w:r w:rsidRPr="00236DF2">
        <w:t xml:space="preserve"> </w:t>
      </w:r>
      <w:proofErr w:type="spellStart"/>
      <w:r w:rsidRPr="00236DF2">
        <w:t>cuáles</w:t>
      </w:r>
      <w:proofErr w:type="spellEnd"/>
      <w:r w:rsidRPr="00236DF2">
        <w:t xml:space="preserve"> son los </w:t>
      </w:r>
      <w:proofErr w:type="spellStart"/>
      <w:r w:rsidRPr="00236DF2">
        <w:t>factores</w:t>
      </w:r>
      <w:proofErr w:type="spellEnd"/>
      <w:r w:rsidRPr="00236DF2">
        <w:t xml:space="preserve"> </w:t>
      </w:r>
      <w:proofErr w:type="spellStart"/>
      <w:r w:rsidRPr="00236DF2">
        <w:t>determinantes</w:t>
      </w:r>
      <w:proofErr w:type="spellEnd"/>
      <w:r w:rsidRPr="00236DF2">
        <w:t xml:space="preserve"> del </w:t>
      </w:r>
      <w:proofErr w:type="spellStart"/>
      <w:r w:rsidRPr="00236DF2">
        <w:t>endeudamiento</w:t>
      </w:r>
      <w:proofErr w:type="spellEnd"/>
      <w:r w:rsidRPr="00236DF2">
        <w:t xml:space="preserve"> en </w:t>
      </w:r>
      <w:proofErr w:type="spellStart"/>
      <w:r w:rsidRPr="00236DF2">
        <w:t>las</w:t>
      </w:r>
      <w:proofErr w:type="spellEnd"/>
      <w:r w:rsidRPr="00236DF2">
        <w:t xml:space="preserve"> </w:t>
      </w:r>
      <w:proofErr w:type="spellStart"/>
      <w:r w:rsidRPr="00236DF2">
        <w:t>cooperativas</w:t>
      </w:r>
      <w:proofErr w:type="spellEnd"/>
      <w:r w:rsidRPr="00236DF2">
        <w:t xml:space="preserve"> </w:t>
      </w:r>
      <w:proofErr w:type="spellStart"/>
      <w:r w:rsidRPr="00236DF2">
        <w:t>agrarias</w:t>
      </w:r>
      <w:proofErr w:type="spellEnd"/>
      <w:r w:rsidRPr="00236DF2">
        <w:t xml:space="preserve"> </w:t>
      </w:r>
      <w:proofErr w:type="spellStart"/>
      <w:r w:rsidRPr="00236DF2">
        <w:t>españolas</w:t>
      </w:r>
      <w:proofErr w:type="spellEnd"/>
      <w:r w:rsidRPr="00236DF2">
        <w:t>.</w:t>
      </w:r>
    </w:p>
    <w:p w14:paraId="25B44933" w14:textId="77777777" w:rsidR="00236DF2" w:rsidRPr="00AE7E9B" w:rsidRDefault="00236DF2" w:rsidP="00AE7E9B">
      <w:pPr>
        <w:rPr>
          <w:lang w:val="es-ES"/>
        </w:rPr>
      </w:pPr>
      <w:r w:rsidRPr="00AE7E9B">
        <w:rPr>
          <w:lang w:val="es-ES"/>
        </w:rPr>
        <w:t>Se utiliza la información económico financiera de una muestra de 106 cooperativas agroalimentarias españolas, calculando las variables de naturaleza económica que se introducen posteriormente en los análisis de regresión para determinar cuáles de ellas parecen tener un efecto significativo sobre las decisiones de financiación de estas entidades.</w:t>
      </w:r>
    </w:p>
    <w:p w14:paraId="55350F83" w14:textId="2709781D" w:rsidR="00AE7E9B" w:rsidRPr="00543BF3" w:rsidRDefault="00AE7E9B" w:rsidP="00AE7E9B">
      <w:pPr>
        <w:pStyle w:val="Ttulo2"/>
        <w:rPr>
          <w:lang w:val="es-ES"/>
        </w:rPr>
      </w:pPr>
      <w:r>
        <w:rPr>
          <w:lang w:val="es-ES"/>
        </w:rPr>
        <w:lastRenderedPageBreak/>
        <w:t>2. Las teorías sobre la estructura de capital en la empresa</w:t>
      </w:r>
    </w:p>
    <w:p w14:paraId="424B0262" w14:textId="77777777" w:rsidR="00AE7E9B" w:rsidRPr="004E06D8" w:rsidRDefault="00AE7E9B" w:rsidP="004E06D8">
      <w:pPr>
        <w:rPr>
          <w:lang w:val="es-ES"/>
        </w:rPr>
      </w:pPr>
      <w:r w:rsidRPr="004E06D8">
        <w:rPr>
          <w:lang w:val="es-ES"/>
        </w:rPr>
        <w:t>Desde los años 50 del pasado siglo, las teorías sobre la estructura de capital han centrado de forma mayoritaria la investigación sobre las decisiones de financiación en la empresa. La literatura teórica y las décadas de trabajos empíricos en la materia han originado diversas teorías parciales sobre la estructura de capital en la empresa, sin que se haya conseguido sin embargo formular una teoría universal al respecto, ni existan razones para esperarla (Myers, 2001). Estas teorías parciales son aplicables a las empresas bajo diferentes circunstancias, de modo que cada factor estudiado puede resultar determinante para la estructura de financiación de algunas empresas en ciertas circunstancias, pero insignificante en otros casos. En este epígrafe se describen las principales teorías financieras que han demostrado tener alguna incidencia en las decisiones de financiación de la empresa, particularizando su aplicación a las entidades objeto de estudio, así como las predicciones sobre cómo estas teorías se ven reflejadas en los factores de endeudamiento observables, es decir, las variables que se utilizan para la verificación de las correspondientes hipótesis.</w:t>
      </w:r>
    </w:p>
    <w:p w14:paraId="52A72F5C" w14:textId="77777777" w:rsidR="00AE7E9B" w:rsidRPr="004E06D8" w:rsidRDefault="00AE7E9B" w:rsidP="004E06D8">
      <w:pPr>
        <w:rPr>
          <w:lang w:val="es-ES"/>
        </w:rPr>
      </w:pPr>
      <w:proofErr w:type="spellStart"/>
      <w:r w:rsidRPr="004E06D8">
        <w:rPr>
          <w:lang w:val="es-ES"/>
        </w:rPr>
        <w:t>Modigliani</w:t>
      </w:r>
      <w:proofErr w:type="spellEnd"/>
      <w:r w:rsidRPr="004E06D8">
        <w:rPr>
          <w:lang w:val="es-ES"/>
        </w:rPr>
        <w:t xml:space="preserve"> y Miller (1958) concluyeron que el valor de mercado de una empresa no dependía de su estructura de capital, bajo el supuesto de un mercado financiero perfecto. Sin embargo, en la práctica, a fin de maximizar el valor de mercado de ésta y el bienestar de sus socios, los gestores deben decidir cuál es la estructura de capital más apropiada para su organización. La Teoría del Óptimo Financiero sugiere que el endeudamiento genera ciertos efectos positivos en la empresa, dando lugar a una combinación de fuentes de financiación, propias y ajenas, que maximiza el valor de la empresa y minimiza el coste medio de sus recursos. Uno de estos efectos es la ventaja fiscal que puede representar la utilización de financiación ajena, dado el carácter fiscalmente deducible de los gastos financieros. La minoración de los ingresos fiscales por el pago de los intereses asociados a la deuda podría representar un aliciente a favor de la utilización de deuda como fuente de financiación. Sin embargo, las empresas también pueden recurrir a otro tipo de deducciones fiscales sustitutas al pago de los intereses financieros (amortización, deducciones por creación de empleo, deducciones por I+D+I, entre otras), por lo que las entidades que ya cuenten con importantes incentivos fiscales no asociados a la financiación ajena recurrirán en menor medida a la deuda (</w:t>
      </w:r>
      <w:proofErr w:type="spellStart"/>
      <w:r w:rsidRPr="004E06D8">
        <w:rPr>
          <w:lang w:val="es-ES"/>
        </w:rPr>
        <w:t>Deangelo</w:t>
      </w:r>
      <w:proofErr w:type="spellEnd"/>
      <w:r w:rsidRPr="004E06D8">
        <w:rPr>
          <w:lang w:val="es-ES"/>
        </w:rPr>
        <w:t xml:space="preserve"> y </w:t>
      </w:r>
      <w:proofErr w:type="spellStart"/>
      <w:r w:rsidRPr="004E06D8">
        <w:rPr>
          <w:lang w:val="es-ES"/>
        </w:rPr>
        <w:t>Masulis</w:t>
      </w:r>
      <w:proofErr w:type="spellEnd"/>
      <w:r w:rsidRPr="004E06D8">
        <w:rPr>
          <w:lang w:val="es-ES"/>
        </w:rPr>
        <w:t>, 1980). Para contrastar esta hipótesis se utiliza como variable independiente el ratio de los gastos de amortización sobre gastos totales, considerando que éstos actúan como aliciente fiscal en contraposición a los intereses asociados al endeudamiento (</w:t>
      </w:r>
      <w:proofErr w:type="spellStart"/>
      <w:r w:rsidRPr="004E06D8">
        <w:rPr>
          <w:lang w:val="es-ES"/>
        </w:rPr>
        <w:t>Hol</w:t>
      </w:r>
      <w:proofErr w:type="spellEnd"/>
      <w:r w:rsidRPr="004E06D8">
        <w:rPr>
          <w:lang w:val="es-ES"/>
        </w:rPr>
        <w:t xml:space="preserve"> y Van der </w:t>
      </w:r>
      <w:proofErr w:type="spellStart"/>
      <w:r w:rsidRPr="004E06D8">
        <w:rPr>
          <w:lang w:val="es-ES"/>
        </w:rPr>
        <w:t>Wijst</w:t>
      </w:r>
      <w:proofErr w:type="spellEnd"/>
      <w:r w:rsidRPr="004E06D8">
        <w:rPr>
          <w:lang w:val="es-ES"/>
        </w:rPr>
        <w:t>, 2008). Dado que la protección fiscal no asociada al endeudamiento proporciona a las empresas un incentivo para utilizar menos deuda, la hipótesis inicial es la existencia de una correlación negativa entre los gastos de amortización y la cantidad de deuda total (</w:t>
      </w:r>
      <w:proofErr w:type="spellStart"/>
      <w:r w:rsidRPr="004E06D8">
        <w:rPr>
          <w:lang w:val="es-ES"/>
        </w:rPr>
        <w:t>Wald</w:t>
      </w:r>
      <w:proofErr w:type="spellEnd"/>
      <w:r w:rsidRPr="004E06D8">
        <w:rPr>
          <w:lang w:val="es-ES"/>
        </w:rPr>
        <w:t>, 1999; Sogorb, 2005), por lo que se propone la primera hipótesis:</w:t>
      </w:r>
    </w:p>
    <w:p w14:paraId="72D0BA61" w14:textId="77777777" w:rsidR="00AE7E9B" w:rsidRPr="004E06D8" w:rsidRDefault="00AE7E9B" w:rsidP="004E06D8">
      <w:pPr>
        <w:jc w:val="center"/>
        <w:rPr>
          <w:i/>
          <w:lang w:val="es-ES"/>
        </w:rPr>
      </w:pPr>
      <w:r w:rsidRPr="004E06D8">
        <w:rPr>
          <w:i/>
          <w:lang w:val="es-ES"/>
        </w:rPr>
        <w:t>H1: la utilización por las cooperativas agrarias de incentivos fiscales no asociados a la financiación ajena minora el nivel de endeudamiento total.</w:t>
      </w:r>
    </w:p>
    <w:p w14:paraId="4C8B12E6" w14:textId="77777777" w:rsidR="00AE7E9B" w:rsidRPr="004E06D8" w:rsidRDefault="00AE7E9B" w:rsidP="004E06D8">
      <w:pPr>
        <w:rPr>
          <w:lang w:val="es-ES"/>
        </w:rPr>
      </w:pPr>
      <w:r w:rsidRPr="004E06D8">
        <w:rPr>
          <w:lang w:val="es-ES"/>
        </w:rPr>
        <w:t>La capacidad con la que cuenta una empresa para generar recursos a través de su actividad principal (autofinan</w:t>
      </w:r>
      <w:r w:rsidRPr="004E06D8">
        <w:rPr>
          <w:lang w:val="es-ES"/>
        </w:rPr>
        <w:softHyphen/>
        <w:t xml:space="preserve">ciación) también es considerada como un factor definitorio de su estructura financiera según la Teoría de la Jerarquización. Según esta teoría las empresas financiarán los nuevos proyectos de inversión recurriendo a la deuda sólo en el caso de que los recursos internos no sean suficientes (Graham y Harvey, 2001; Murray y </w:t>
      </w:r>
      <w:proofErr w:type="spellStart"/>
      <w:r w:rsidRPr="004E06D8">
        <w:rPr>
          <w:lang w:val="es-ES"/>
        </w:rPr>
        <w:t>Goyal</w:t>
      </w:r>
      <w:proofErr w:type="spellEnd"/>
      <w:r w:rsidRPr="004E06D8">
        <w:rPr>
          <w:lang w:val="es-ES"/>
        </w:rPr>
        <w:t xml:space="preserve">, 2003). Si la autofinanciación se revela insuficiente se recurrirá a la deuda, utilizando los capitales propios sólo como último recurso. El análisis del efecto de los recursos internos generados se </w:t>
      </w:r>
      <w:proofErr w:type="spellStart"/>
      <w:r w:rsidRPr="004E06D8">
        <w:rPr>
          <w:lang w:val="es-ES"/>
        </w:rPr>
        <w:t>modeliza</w:t>
      </w:r>
      <w:proofErr w:type="spellEnd"/>
      <w:r w:rsidRPr="004E06D8">
        <w:rPr>
          <w:lang w:val="es-ES"/>
        </w:rPr>
        <w:t xml:space="preserve"> a través de una variable independiente definida como el cociente entre la suma de las reservas (beneficios retenidos) más la dotación a amortizaciones (gastos detraídos del resultado que no suponen sin embargo una salida de recursos de la empresa), y los activos totales de la empresa. Se plantea la segunda hipótesis de la investigación:</w:t>
      </w:r>
    </w:p>
    <w:p w14:paraId="0E60DE8B" w14:textId="77777777" w:rsidR="00AE7E9B" w:rsidRPr="004E06D8" w:rsidRDefault="00AE7E9B" w:rsidP="004E06D8">
      <w:pPr>
        <w:jc w:val="center"/>
        <w:rPr>
          <w:i/>
          <w:lang w:val="es-ES"/>
        </w:rPr>
      </w:pPr>
      <w:r w:rsidRPr="004E06D8">
        <w:rPr>
          <w:i/>
          <w:lang w:val="es-ES"/>
        </w:rPr>
        <w:t>H2: la capacidad para generar recursos internos está relacionada negativamente con el nivel de endeudamiento total.</w:t>
      </w:r>
    </w:p>
    <w:p w14:paraId="35463DEF" w14:textId="77777777" w:rsidR="00AE7E9B" w:rsidRPr="004E06D8" w:rsidRDefault="00AE7E9B" w:rsidP="004E06D8">
      <w:pPr>
        <w:rPr>
          <w:lang w:val="es-ES"/>
        </w:rPr>
      </w:pPr>
      <w:r w:rsidRPr="004E06D8">
        <w:rPr>
          <w:lang w:val="es-ES"/>
        </w:rPr>
        <w:t>Las características de los activos tienen un doble impacto sobre la política de financiación: por una parte, los activos tangibles incrementan la posibilidad de obtener financiación mediante garantías reales o tangibles, y por otra, las características de los activos que serán objeto del endeudamiento pueden contribuir a disminuir o atenuar los posibles costes de agencia y de transacción. Estudios previos han revelado que la estructura de capital está asociada positivamente con la estructura económica (activo) de una entidad porque determinados activos pueden ser usados como avales para reducir los costes de agencia asociados a la financiación ajena, en la medida en que pueden ser objeto de una valoración inmediata (Cole, 2013). Se plantea la siguiente hipótesis:</w:t>
      </w:r>
    </w:p>
    <w:p w14:paraId="62C2BF95" w14:textId="77777777" w:rsidR="00AE7E9B" w:rsidRPr="004E06D8" w:rsidRDefault="00AE7E9B" w:rsidP="004E06D8">
      <w:pPr>
        <w:jc w:val="center"/>
        <w:rPr>
          <w:i/>
          <w:lang w:val="es-ES"/>
        </w:rPr>
      </w:pPr>
      <w:r w:rsidRPr="004E06D8">
        <w:rPr>
          <w:i/>
          <w:lang w:val="es-ES"/>
        </w:rPr>
        <w:lastRenderedPageBreak/>
        <w:t>H3: la existencia de un mayor volumen de activos a largo plazo (activo no corriente) incentiva la utilización de deuda como fuente de financiación.</w:t>
      </w:r>
    </w:p>
    <w:p w14:paraId="643C9516" w14:textId="77777777" w:rsidR="00AE7E9B" w:rsidRPr="004E06D8" w:rsidRDefault="00AE7E9B" w:rsidP="004E06D8">
      <w:pPr>
        <w:rPr>
          <w:lang w:val="es-ES"/>
        </w:rPr>
      </w:pPr>
      <w:proofErr w:type="gramStart"/>
      <w:r w:rsidRPr="004E06D8">
        <w:rPr>
          <w:lang w:val="es-ES"/>
        </w:rPr>
        <w:t>para</w:t>
      </w:r>
      <w:proofErr w:type="gramEnd"/>
      <w:r w:rsidRPr="004E06D8">
        <w:rPr>
          <w:lang w:val="es-ES"/>
        </w:rPr>
        <w:t xml:space="preserve"> lo que se utiliza como variable independiente el cociente entre el activo no corriente y el activo total de la cooperativa.</w:t>
      </w:r>
    </w:p>
    <w:p w14:paraId="033064A8" w14:textId="77777777" w:rsidR="00AE7E9B" w:rsidRPr="004E06D8" w:rsidRDefault="00AE7E9B" w:rsidP="004E06D8">
      <w:pPr>
        <w:rPr>
          <w:lang w:val="es-ES"/>
        </w:rPr>
      </w:pPr>
      <w:r w:rsidRPr="004E06D8">
        <w:rPr>
          <w:lang w:val="es-ES"/>
        </w:rPr>
        <w:t>Relacionado con la hipótesis anterior es preciso contrastar también la relación existente entre la liquidez de la entidad y la composición de su estructura financiera. Los activos líquidos pueden ser convertidos en efectivo fácilmente, lo que implica que los costes de insolvencia esperados serán menores en las empresas con mayor liquidez. Además, es razonable pensar que la existencia de un equilibrio entre el plazo de vencimiento de la deuda y la composición del activo reducirá los riesgos de insolvencia y adecuará la estructura financiera a la estructura del activo. Cuando las empresas financian activos no corrientes con deudas a corto plazo están asumiendo un riesgo potencial de liquidez. Se plantea la siguiente hipótesis:</w:t>
      </w:r>
    </w:p>
    <w:p w14:paraId="72923794" w14:textId="77777777" w:rsidR="00AE7E9B" w:rsidRPr="004E06D8" w:rsidRDefault="00AE7E9B" w:rsidP="004E06D8">
      <w:pPr>
        <w:jc w:val="center"/>
        <w:rPr>
          <w:i/>
          <w:lang w:val="es-ES"/>
        </w:rPr>
      </w:pPr>
      <w:r w:rsidRPr="004E06D8">
        <w:rPr>
          <w:i/>
          <w:lang w:val="es-ES"/>
        </w:rPr>
        <w:t>H4: existe una relación positiva entre el endeudamiento y la liquidez de la entidad.</w:t>
      </w:r>
    </w:p>
    <w:p w14:paraId="6E6B0B99" w14:textId="77777777" w:rsidR="00AE7E9B" w:rsidRPr="004E06D8" w:rsidRDefault="00AE7E9B" w:rsidP="004E06D8">
      <w:pPr>
        <w:rPr>
          <w:lang w:val="es-ES"/>
        </w:rPr>
      </w:pPr>
      <w:r w:rsidRPr="004E06D8">
        <w:rPr>
          <w:lang w:val="es-ES"/>
        </w:rPr>
        <w:t>Y se propone la utilización de los ratios de liquidez general (activo corriente/pasivo corriente) y disponibilidad como variables independientes.</w:t>
      </w:r>
    </w:p>
    <w:p w14:paraId="1BA8CD78" w14:textId="77777777" w:rsidR="00AE7E9B" w:rsidRPr="004E06D8" w:rsidRDefault="00AE7E9B" w:rsidP="004E06D8">
      <w:pPr>
        <w:rPr>
          <w:lang w:val="es-ES"/>
        </w:rPr>
      </w:pPr>
      <w:r w:rsidRPr="004E06D8">
        <w:rPr>
          <w:lang w:val="es-ES"/>
        </w:rPr>
        <w:t>El tamaño de la entidad ha sido una variable recurrente en los estudios empíricos sobre la estructura financiera de la empresa, si bien sus implicaciones reales no son inequívocas ni han quedado demostradas de forma concluyente (</w:t>
      </w:r>
      <w:proofErr w:type="spellStart"/>
      <w:r w:rsidRPr="004E06D8">
        <w:rPr>
          <w:lang w:val="es-ES"/>
        </w:rPr>
        <w:t>Hol</w:t>
      </w:r>
      <w:proofErr w:type="spellEnd"/>
      <w:r w:rsidRPr="004E06D8">
        <w:rPr>
          <w:lang w:val="es-ES"/>
        </w:rPr>
        <w:t xml:space="preserve"> y Van Der </w:t>
      </w:r>
      <w:proofErr w:type="spellStart"/>
      <w:r w:rsidRPr="004E06D8">
        <w:rPr>
          <w:lang w:val="es-ES"/>
        </w:rPr>
        <w:t>Wijst</w:t>
      </w:r>
      <w:proofErr w:type="spellEnd"/>
      <w:r w:rsidRPr="004E06D8">
        <w:rPr>
          <w:lang w:val="es-ES"/>
        </w:rPr>
        <w:t xml:space="preserve">, 2008). La mayoría de los trabajos sugieren una relación positiva entre el tamaño de la empresa y el nivel de endeudamiento, lo que parece justificarse por la posibilidad de las grandes empresas de lograr economías de escala a través del endeudamiento a largo plazo o sus mayores facilidades de acceso a los mercados de capital, entre otros aspectos (Frank and </w:t>
      </w:r>
      <w:proofErr w:type="spellStart"/>
      <w:r w:rsidRPr="004E06D8">
        <w:rPr>
          <w:lang w:val="es-ES"/>
        </w:rPr>
        <w:t>Goyal</w:t>
      </w:r>
      <w:proofErr w:type="spellEnd"/>
      <w:r w:rsidRPr="004E06D8">
        <w:rPr>
          <w:lang w:val="es-ES"/>
        </w:rPr>
        <w:t xml:space="preserve">, 2009). Cuanto mayor sea el tamaño de una entidad menor debería ser, en principio, su probabilidad de insolvencia y sus costes de agencia, por lo que la Teoría del Óptimo Financiero apunta a una relación directa y positiva entre éste y el nivel de deuda. Pero, al mismo tiempo, el tamaño también podría mejorar los problemas de información asimétrica en relación a los inversores externos y reducir los costes de emisión, con lo que se incrementarían las preferencias de la empresa hacia la emisión de capital frente a la deuda. Por este motivo la Teoría de la Jerarquización predice una relación ambigua (Cole, 2013). </w:t>
      </w:r>
    </w:p>
    <w:p w14:paraId="35DF22D3" w14:textId="77777777" w:rsidR="00AE7E9B" w:rsidRPr="004E06D8" w:rsidRDefault="00AE7E9B" w:rsidP="004E06D8">
      <w:pPr>
        <w:rPr>
          <w:lang w:val="es-ES"/>
        </w:rPr>
      </w:pPr>
      <w:r w:rsidRPr="004E06D8">
        <w:rPr>
          <w:lang w:val="es-ES"/>
        </w:rPr>
        <w:t>Para evaluar la incidencia del tamaño de la cooperativa en su nivel de endeudamiento se han utilizado varias variables. Entre las diversas propuestas recogidas en la investigación previa (Arcas et al., 2011), la más recurrente es el logaritmo del valor contable del activo total de la entidad. Además, se han incorporado otras dos variables que aproximan con bastante fidelidad la dimensión de las cooperativas agrarias: el número de socios, por un lado, y el ratio que relaciona el volumen de negocio con el número total de socios de la entidad, por otro. La hipótesis a contrastar es:</w:t>
      </w:r>
    </w:p>
    <w:p w14:paraId="4C47D543" w14:textId="77777777" w:rsidR="00AE7E9B" w:rsidRPr="004E06D8" w:rsidRDefault="00AE7E9B" w:rsidP="004E06D8">
      <w:pPr>
        <w:jc w:val="center"/>
        <w:rPr>
          <w:i/>
          <w:lang w:val="es-ES"/>
        </w:rPr>
      </w:pPr>
      <w:r w:rsidRPr="004E06D8">
        <w:rPr>
          <w:i/>
          <w:lang w:val="es-ES"/>
        </w:rPr>
        <w:t>H5: existe una relación (positiva o negativa) entre el tamaño de la cooperativa y su nivel de endeudamiento.</w:t>
      </w:r>
    </w:p>
    <w:p w14:paraId="7ACD58A8" w14:textId="77777777" w:rsidR="00AE7E9B" w:rsidRPr="004E06D8" w:rsidRDefault="00AE7E9B" w:rsidP="004E06D8">
      <w:pPr>
        <w:rPr>
          <w:lang w:val="es-ES"/>
        </w:rPr>
      </w:pPr>
      <w:r w:rsidRPr="004E06D8">
        <w:rPr>
          <w:lang w:val="es-ES"/>
        </w:rPr>
        <w:t>La investigación empírica ha señalado relaciones de diverso signo entre el endeudamiento y el rendimiento de la empresa en el desarrollo de su actividad productiva, en la medida en que esta eficiencia determina notablemente su probabilidad de incurrir en dificultades financieras. Por una parte, la Teoría del Óptimo Financiero postula que cuanto más productiva es una empresa menores probabilidades tendrá de incumplir sus obligaciones de pago y mayor será la utilidad del endeudamiento como ventaja o escudo fiscal. En consecuencia, esta teoría predice una relación positiva entre endeudamiento y rendimiento. Sin embargo, la Teoría de la Jerarquización predice una relación inversa, en la medida en que cuanto más productiva sea una empresa mayor será su capacidad de autofinanciarse y en consecuencia menos necesario será el endeudamiento. La medida del rendimiento más habitualmente utilizada por la investigación ha sido la rentabilidad, fundamentalmente la económica (ROA). En estudios transnacionales se han utilizado el beneficio antes de intereses e impuestos sobre el activo total (EBITOA) para comparar empresas que operan en distintos países, obviando así las diferencias tributarias y de estructura de capital entre países (</w:t>
      </w:r>
      <w:proofErr w:type="spellStart"/>
      <w:r w:rsidRPr="004E06D8">
        <w:rPr>
          <w:lang w:val="es-ES"/>
        </w:rPr>
        <w:t>Heyder</w:t>
      </w:r>
      <w:proofErr w:type="spellEnd"/>
      <w:r w:rsidRPr="004E06D8">
        <w:rPr>
          <w:lang w:val="es-ES"/>
        </w:rPr>
        <w:t xml:space="preserve"> et al., 2011; De </w:t>
      </w:r>
      <w:proofErr w:type="spellStart"/>
      <w:r w:rsidRPr="004E06D8">
        <w:rPr>
          <w:lang w:val="es-ES"/>
        </w:rPr>
        <w:t>Jong</w:t>
      </w:r>
      <w:proofErr w:type="spellEnd"/>
      <w:r w:rsidRPr="004E06D8">
        <w:rPr>
          <w:lang w:val="es-ES"/>
        </w:rPr>
        <w:t xml:space="preserve"> and Van </w:t>
      </w:r>
      <w:proofErr w:type="spellStart"/>
      <w:r w:rsidRPr="004E06D8">
        <w:rPr>
          <w:lang w:val="es-ES"/>
        </w:rPr>
        <w:t>Houten</w:t>
      </w:r>
      <w:proofErr w:type="spellEnd"/>
      <w:r w:rsidRPr="004E06D8">
        <w:rPr>
          <w:lang w:val="es-ES"/>
        </w:rPr>
        <w:t xml:space="preserve">, 2014), y otros autores (Frank and </w:t>
      </w:r>
      <w:proofErr w:type="spellStart"/>
      <w:r w:rsidRPr="004E06D8">
        <w:rPr>
          <w:lang w:val="es-ES"/>
        </w:rPr>
        <w:t>Goyal</w:t>
      </w:r>
      <w:proofErr w:type="spellEnd"/>
      <w:r w:rsidRPr="004E06D8">
        <w:rPr>
          <w:lang w:val="es-ES"/>
        </w:rPr>
        <w:t>, 2009) evalúan la productividad a través del cociente ingresos de explotación antes de amortización sobre el activo total.</w:t>
      </w:r>
    </w:p>
    <w:p w14:paraId="32CF25C2" w14:textId="77777777" w:rsidR="00AE7E9B" w:rsidRPr="004E06D8" w:rsidRDefault="00AE7E9B" w:rsidP="004E06D8">
      <w:pPr>
        <w:rPr>
          <w:lang w:val="es-ES"/>
        </w:rPr>
      </w:pPr>
      <w:r w:rsidRPr="004E06D8">
        <w:rPr>
          <w:lang w:val="es-ES"/>
        </w:rPr>
        <w:t>En el caso de las sociedades cooperativas, la evaluación de su rendimiento ha constituido tradicionalmente un aspecto de gran interés para la economía agraria (</w:t>
      </w:r>
      <w:proofErr w:type="spellStart"/>
      <w:r w:rsidRPr="004E06D8">
        <w:rPr>
          <w:lang w:val="es-ES"/>
        </w:rPr>
        <w:t>Lerman</w:t>
      </w:r>
      <w:proofErr w:type="spellEnd"/>
      <w:r w:rsidRPr="004E06D8">
        <w:rPr>
          <w:lang w:val="es-ES"/>
        </w:rPr>
        <w:t xml:space="preserve"> y </w:t>
      </w:r>
      <w:proofErr w:type="spellStart"/>
      <w:r w:rsidRPr="004E06D8">
        <w:rPr>
          <w:lang w:val="es-ES"/>
        </w:rPr>
        <w:t>Parliament</w:t>
      </w:r>
      <w:proofErr w:type="spellEnd"/>
      <w:r w:rsidRPr="004E06D8">
        <w:rPr>
          <w:lang w:val="es-ES"/>
        </w:rPr>
        <w:t xml:space="preserve">, 1991; </w:t>
      </w:r>
      <w:proofErr w:type="spellStart"/>
      <w:r w:rsidRPr="004E06D8">
        <w:rPr>
          <w:lang w:val="es-ES"/>
        </w:rPr>
        <w:t>Heyder</w:t>
      </w:r>
      <w:proofErr w:type="spellEnd"/>
      <w:r w:rsidRPr="004E06D8">
        <w:rPr>
          <w:lang w:val="es-ES"/>
        </w:rPr>
        <w:t xml:space="preserve"> et al., 2011) por la especial caracterización que presenta este concepto en la sustantividad de estas entidades. Frente a las empresas capitalistas, las </w:t>
      </w:r>
      <w:r w:rsidRPr="004E06D8">
        <w:rPr>
          <w:lang w:val="es-ES"/>
        </w:rPr>
        <w:lastRenderedPageBreak/>
        <w:t>cooperativas tienen como objetivo maximizar los beneficios de sus socios a través de la prestación de una serie de servicios cuya finalidad va más allá de optimizar la rentabilidad de sus aportaciones (</w:t>
      </w:r>
      <w:proofErr w:type="spellStart"/>
      <w:r w:rsidRPr="004E06D8">
        <w:rPr>
          <w:lang w:val="es-ES"/>
        </w:rPr>
        <w:t>Karami</w:t>
      </w:r>
      <w:proofErr w:type="spellEnd"/>
      <w:r w:rsidRPr="004E06D8">
        <w:rPr>
          <w:lang w:val="es-ES"/>
        </w:rPr>
        <w:t xml:space="preserve"> et al., 2005). Los socios no son sólo propietarios que participan en la toma de decisiones y en la provisión de fondos, también son proveedores de los productos que la cooperativa ofrece al mercado. Ello implica que los objetivos de eficacia y eficiencia, comunes para cualquier tipo de empresa, deben quedar supeditados en el caso de la cooperativa al mantenimiento del compromiso del socio con la entidad, que debería alcanzarse mediante una adecuada gestión empresarial que genere beneficios de los que participen los socios. La medición del rendimiento de las sociedades cooperativas debe necesariamente evaluar el grado de consecución de sus objetivos a dos niveles, empresarial (rendimiento económico) y social (satisfacción de las necesidades y expectativas de sus socios), coherentemente con la doble dimensión que se atribuye a este tipo de organizaciones, si bien éste constituye un asunto no resuelto y sobre el que se pueden encontrar disparidad de opiniones. La investigación, en un intento por evaluar el rendimiento de las cooperativas desde esta doble perspectiva, ha utilizado indicadores de muy diversa índole (</w:t>
      </w:r>
      <w:proofErr w:type="spellStart"/>
      <w:r w:rsidRPr="004E06D8">
        <w:rPr>
          <w:lang w:val="es-ES"/>
        </w:rPr>
        <w:t>Karami</w:t>
      </w:r>
      <w:proofErr w:type="spellEnd"/>
      <w:r w:rsidRPr="004E06D8">
        <w:rPr>
          <w:lang w:val="es-ES"/>
        </w:rPr>
        <w:t xml:space="preserve"> and </w:t>
      </w:r>
      <w:proofErr w:type="spellStart"/>
      <w:r w:rsidRPr="004E06D8">
        <w:rPr>
          <w:lang w:val="es-ES"/>
        </w:rPr>
        <w:t>Rezaei-Moghaddam</w:t>
      </w:r>
      <w:proofErr w:type="spellEnd"/>
      <w:r w:rsidRPr="004E06D8">
        <w:rPr>
          <w:lang w:val="es-ES"/>
        </w:rPr>
        <w:t xml:space="preserve">, 2005; </w:t>
      </w:r>
      <w:proofErr w:type="spellStart"/>
      <w:r w:rsidRPr="004E06D8">
        <w:rPr>
          <w:lang w:val="es-ES"/>
        </w:rPr>
        <w:t>Soboh</w:t>
      </w:r>
      <w:proofErr w:type="spellEnd"/>
      <w:r w:rsidRPr="004E06D8">
        <w:rPr>
          <w:lang w:val="es-ES"/>
        </w:rPr>
        <w:t xml:space="preserve"> et al., 2009; Arcas et al., 2011; </w:t>
      </w:r>
      <w:proofErr w:type="spellStart"/>
      <w:r w:rsidRPr="004E06D8">
        <w:rPr>
          <w:lang w:val="es-ES"/>
        </w:rPr>
        <w:t>Bijman</w:t>
      </w:r>
      <w:proofErr w:type="spellEnd"/>
      <w:r w:rsidRPr="004E06D8">
        <w:rPr>
          <w:lang w:val="es-ES"/>
        </w:rPr>
        <w:t xml:space="preserve"> et al., 2012; </w:t>
      </w:r>
      <w:proofErr w:type="spellStart"/>
      <w:r w:rsidRPr="004E06D8">
        <w:rPr>
          <w:lang w:val="es-ES"/>
        </w:rPr>
        <w:t>Challita</w:t>
      </w:r>
      <w:proofErr w:type="spellEnd"/>
      <w:r w:rsidRPr="004E06D8">
        <w:rPr>
          <w:lang w:val="es-ES"/>
        </w:rPr>
        <w:t xml:space="preserve"> et al., 2014). </w:t>
      </w:r>
    </w:p>
    <w:p w14:paraId="4FE85FB6" w14:textId="77777777" w:rsidR="00AE7E9B" w:rsidRPr="004E06D8" w:rsidRDefault="00AE7E9B" w:rsidP="004E06D8">
      <w:pPr>
        <w:rPr>
          <w:lang w:val="es-ES"/>
        </w:rPr>
      </w:pPr>
      <w:r w:rsidRPr="004E06D8">
        <w:rPr>
          <w:lang w:val="es-ES"/>
        </w:rPr>
        <w:t>Dado que las variables independientes que aproximen el rendimiento de las cooperativas agrarias deben evaluar la consecución de sus objetivos a dos niveles, empresarial y social, se propone la utilización de dos tipos de variables: por una parte, es necesario reconocer a la cooperativa como un tipo de empresa y como tal, debe lograr unos objetivos en relación con la actividad económica que desarrolla. En este sentido, como medida del rendimiento a nivel empresarial, se utiliza el ratio de rotación del activo total, dado que estudios previos en cooperativas han utilizado con éxito esta variable como medida del rendimiento. Pero además, es preciso evaluar el grado de consecución de los objetivos sociales de la cooperativa (rendimiento social) en relación a la satisfacción de las expectativas de sus socios que, como ya se ha señalado, pasa habitualmente por la maximización de las liquidaciones percibidas de la cooperativa. La revisión individualizada de los estados financieros de las cooperativas de la muestra objeto de estudio ha permitido obtener la información de dichas liquidaciones, que se recogen (según la normativa contable sustantiva1) en la partida de Aprovisionamientos del resultado de explotación de la cuenta de pérdidas y ganancias, bajo un epígrafe específico con la denominación “Consumos de existencias de socios”. A partir de éstos se ha calculado para cada entidad la variable independiente “liquidación por socio” definida como el ratio (adquisiciones a socios/ nº socios). Se plantea la hipótesis:</w:t>
      </w:r>
    </w:p>
    <w:p w14:paraId="20ACB9F6" w14:textId="77777777" w:rsidR="00AE7E9B" w:rsidRPr="004E06D8" w:rsidRDefault="00AE7E9B" w:rsidP="004E06D8">
      <w:pPr>
        <w:jc w:val="center"/>
        <w:rPr>
          <w:i/>
          <w:lang w:val="es-ES"/>
        </w:rPr>
      </w:pPr>
      <w:r w:rsidRPr="004E06D8">
        <w:rPr>
          <w:i/>
          <w:lang w:val="es-ES"/>
        </w:rPr>
        <w:t>H6: existe una relación (positiva o negativa) entre el rendimiento de la cooperativa y su nivel de endeudamiento.</w:t>
      </w:r>
    </w:p>
    <w:p w14:paraId="1A580C2F" w14:textId="77777777" w:rsidR="004E06D8" w:rsidRDefault="004E06D8" w:rsidP="004E06D8">
      <w:pPr>
        <w:tabs>
          <w:tab w:val="left" w:pos="284"/>
        </w:tabs>
        <w:rPr>
          <w:lang w:val="es-ES"/>
        </w:rPr>
      </w:pPr>
    </w:p>
    <w:p w14:paraId="0F7F0FFE" w14:textId="77777777" w:rsidR="004E06D8" w:rsidRPr="004E06D8" w:rsidRDefault="004E06D8" w:rsidP="004E06D8">
      <w:pPr>
        <w:tabs>
          <w:tab w:val="left" w:pos="284"/>
        </w:tabs>
        <w:rPr>
          <w:lang w:val="es-ES"/>
        </w:rPr>
      </w:pPr>
    </w:p>
    <w:p w14:paraId="2E9CD9F8" w14:textId="7B7237D0" w:rsidR="00F37E74" w:rsidRPr="004E06D8" w:rsidRDefault="004E06D8" w:rsidP="00F37E74">
      <w:pPr>
        <w:pStyle w:val="Ttulo2"/>
        <w:numPr>
          <w:ilvl w:val="0"/>
          <w:numId w:val="13"/>
        </w:numPr>
        <w:ind w:left="284" w:hanging="284"/>
        <w:rPr>
          <w:lang w:val="es-ES"/>
        </w:rPr>
      </w:pPr>
      <w:r>
        <w:rPr>
          <w:lang w:val="es-ES"/>
        </w:rPr>
        <w:t>Metodología</w:t>
      </w:r>
    </w:p>
    <w:p w14:paraId="5262DCC1" w14:textId="3E0C9486" w:rsidR="00A7635D" w:rsidRPr="004E06D8" w:rsidRDefault="004E06D8" w:rsidP="004E06D8">
      <w:pPr>
        <w:rPr>
          <w:b/>
          <w:lang w:val="es-ES"/>
        </w:rPr>
      </w:pPr>
      <w:r>
        <w:rPr>
          <w:b/>
          <w:lang w:val="es-ES"/>
        </w:rPr>
        <w:t xml:space="preserve">3.1. </w:t>
      </w:r>
      <w:r w:rsidRPr="004E06D8">
        <w:rPr>
          <w:b/>
          <w:lang w:val="es-ES"/>
        </w:rPr>
        <w:t>Muestra</w:t>
      </w:r>
    </w:p>
    <w:p w14:paraId="5949AFC5" w14:textId="77777777" w:rsidR="004E06D8" w:rsidRPr="004E06D8" w:rsidRDefault="004E06D8" w:rsidP="004E06D8">
      <w:pPr>
        <w:rPr>
          <w:lang w:val="es-ES"/>
        </w:rPr>
      </w:pPr>
      <w:r w:rsidRPr="004E06D8">
        <w:rPr>
          <w:lang w:val="es-ES"/>
        </w:rPr>
        <w:t xml:space="preserve">La población objeto de estudio es el conjunto de sociedades cooperativas dedicadas a actividades agrarias y con ámbito geográfico extendido a todo el territorio español. La población total de cooperativas agrarias en España es de 3,844 cooperativas agrarias (2012). De estas cooperativas 2,708 están asociadas a “Cooperativas Agro-alimentarias España”. Debido a la necesidad de acceso directo a la información de estas entidades para los objetivos del trabajo, se ha extraído una muestra representativa de cooperativas agrarias de entre las socias de Cooperativas Agro-alimentarias, dado que se considera que el conjunto de éstas presentan la suficiente variabilidad en cuanto a su caracterización como para que la muestra no se vea alterada. Se ha tenido acceso mediante consultas personales a los Registros de Cooperativas y a través de Cooperativas Agro-alimentarias, a las cuentas anuales íntegras del ejercicio 2012 de 187 cooperativas. Se realizó sobre éstas una depuración manual, eliminando aquellas que presentaban datos inconsistentes, incompletos o que no diferenciaban el epígrafe de “Adquisiciones a socios” dentro de la partida “Aprovisionamientos” de la Cuenta de Pérdidas y Ganancias, ya que esta información resulta fundamental para los objetivos del estudio. Con todo ello, la muestra final objeto de estudio queda formada por 106 cooperativas agrarias que presentan datos en todas las variables utilizadas, obviando así el problema relativo al tratamiento de los valores perdidos (Frank y </w:t>
      </w:r>
      <w:proofErr w:type="spellStart"/>
      <w:r w:rsidRPr="004E06D8">
        <w:rPr>
          <w:lang w:val="es-ES"/>
        </w:rPr>
        <w:t>Goyal</w:t>
      </w:r>
      <w:proofErr w:type="spellEnd"/>
      <w:r w:rsidRPr="004E06D8">
        <w:rPr>
          <w:lang w:val="es-ES"/>
        </w:rPr>
        <w:t xml:space="preserve">, 2009). </w:t>
      </w:r>
    </w:p>
    <w:p w14:paraId="7CF16BF2" w14:textId="77777777" w:rsidR="00F37E74" w:rsidRDefault="00F37E74" w:rsidP="00A7635D">
      <w:pPr>
        <w:rPr>
          <w:lang w:val="es-ES"/>
        </w:rPr>
      </w:pPr>
    </w:p>
    <w:p w14:paraId="1895334E" w14:textId="77777777" w:rsidR="004E06D8" w:rsidRDefault="004E06D8" w:rsidP="00A7635D">
      <w:pPr>
        <w:rPr>
          <w:lang w:val="es-ES"/>
        </w:rPr>
      </w:pPr>
    </w:p>
    <w:p w14:paraId="4473024D" w14:textId="0DC9C3BA" w:rsidR="004E06D8" w:rsidRPr="004E06D8" w:rsidRDefault="004E06D8" w:rsidP="004E06D8">
      <w:pPr>
        <w:rPr>
          <w:b/>
          <w:lang w:val="es-ES"/>
        </w:rPr>
      </w:pPr>
      <w:r>
        <w:rPr>
          <w:b/>
          <w:lang w:val="es-ES"/>
        </w:rPr>
        <w:lastRenderedPageBreak/>
        <w:t>3.2. Variables</w:t>
      </w:r>
    </w:p>
    <w:p w14:paraId="301BEEA6" w14:textId="77777777" w:rsidR="004E06D8" w:rsidRPr="004E06D8" w:rsidRDefault="004E06D8" w:rsidP="004E06D8">
      <w:pPr>
        <w:rPr>
          <w:lang w:val="es-ES"/>
        </w:rPr>
      </w:pPr>
      <w:r w:rsidRPr="004E06D8">
        <w:rPr>
          <w:lang w:val="es-ES"/>
        </w:rPr>
        <w:t>La metodología utilizada ha sido la regresión lineal múltiple. Para ello, se han seleccionado una serie de variables independientes que, atendiendo a la literatura sobre la estructura financiera en la empresa, podrían tener algún efecto teórico sobre las decisiones de financiación de estas entidades. Como variable dependiente se ha utilizado el ratio de endeudamiento total (END.T), definido como el cociente entre el pasivo (deudas totales) y el activo total.</w:t>
      </w:r>
    </w:p>
    <w:p w14:paraId="3A9F13F9" w14:textId="77777777" w:rsidR="004E06D8" w:rsidRPr="004E06D8" w:rsidRDefault="004E06D8" w:rsidP="004E06D8">
      <w:pPr>
        <w:rPr>
          <w:lang w:val="es-ES"/>
        </w:rPr>
      </w:pPr>
      <w:r w:rsidRPr="004E06D8">
        <w:rPr>
          <w:lang w:val="es-ES"/>
        </w:rPr>
        <w:t xml:space="preserve">Además, se ha considerado necesario evaluar la composición de la deuda existente en la estructura financiera de la cooperativa. Cuando se evalúa el endeudamiento de una empresa a partir de sus estados contables tradicionalmente suele recurrirse al ratio de endeudamiento total. Sin embargo, las deudas totales incluyen también aquéllas de naturaleza corriente (a corto plazo) que se consideran esenciales en la realización de la actividad productiva habitual, se generan de forma espontánea y quedan fuera del alcance de las decisiones de financiación de los gestores de la entidad. Estas deben diferenciarse, a efectos del estudio, de los préstamos bancarios, líneas de crédito dispuestas y otros productos financieros ofertados por intermediarios financieros, es decir deudas negociadas y directamente derivadas de la estrategia de financiación adoptada por la cooperativa. Para realizar este análisis de la composición de la deuda se ha recurrido a una definición aproximada a través del ratio (DEUDA l/p), que relaciona las deudas a largo plazo con la estructura financiera total y que se utiliza también como variable dependiente en un segundo modelo de regresión. Se asume que la mayoría de la financiación negociada se corresponde con las deudas a largo plazo de la entidad (pasivo no corriente), en tanto que las deudas a corto plazo (pasivos corrientes) constituyen mayoritariamente financiación espontánea de la actividad productiva. </w:t>
      </w:r>
    </w:p>
    <w:p w14:paraId="03CDFDBE" w14:textId="77777777" w:rsidR="004E06D8" w:rsidRPr="004E06D8" w:rsidRDefault="004E06D8" w:rsidP="004E06D8">
      <w:pPr>
        <w:rPr>
          <w:lang w:val="es-ES"/>
        </w:rPr>
      </w:pPr>
      <w:r w:rsidRPr="004E06D8">
        <w:rPr>
          <w:lang w:val="es-ES"/>
        </w:rPr>
        <w:t xml:space="preserve">La Tabla 1 sintetiza la relación de variables independientes utilizadas, así como su definición y el signo esperado de su relación con las variables dependientes. </w:t>
      </w:r>
    </w:p>
    <w:p w14:paraId="42468E79" w14:textId="77777777" w:rsidR="00DD1501" w:rsidRPr="00DD1501" w:rsidRDefault="00DD1501" w:rsidP="00DD1501">
      <w:pPr>
        <w:spacing w:before="120"/>
        <w:jc w:val="center"/>
        <w:rPr>
          <w:b/>
          <w:color w:val="FF0000"/>
          <w:sz w:val="18"/>
          <w:szCs w:val="18"/>
        </w:rPr>
      </w:pPr>
      <w:proofErr w:type="spellStart"/>
      <w:r w:rsidRPr="00DD1501">
        <w:rPr>
          <w:b/>
          <w:sz w:val="18"/>
          <w:szCs w:val="18"/>
        </w:rPr>
        <w:t>Tabla</w:t>
      </w:r>
      <w:proofErr w:type="spellEnd"/>
      <w:r w:rsidRPr="00DD1501">
        <w:rPr>
          <w:b/>
          <w:sz w:val="18"/>
          <w:szCs w:val="18"/>
        </w:rPr>
        <w:t xml:space="preserve"> 1. </w:t>
      </w:r>
      <w:proofErr w:type="spellStart"/>
      <w:r w:rsidRPr="00DD1501">
        <w:rPr>
          <w:b/>
          <w:sz w:val="18"/>
          <w:szCs w:val="18"/>
        </w:rPr>
        <w:t>Definición</w:t>
      </w:r>
      <w:proofErr w:type="spellEnd"/>
      <w:r w:rsidRPr="00DD1501">
        <w:rPr>
          <w:b/>
          <w:sz w:val="18"/>
          <w:szCs w:val="18"/>
        </w:rPr>
        <w:t xml:space="preserve"> de variables </w:t>
      </w:r>
      <w:proofErr w:type="spellStart"/>
      <w:r w:rsidRPr="00DD1501">
        <w:rPr>
          <w:b/>
          <w:sz w:val="18"/>
          <w:szCs w:val="18"/>
        </w:rPr>
        <w:t>independientes</w:t>
      </w:r>
      <w:proofErr w:type="spellEnd"/>
    </w:p>
    <w:tbl>
      <w:tblPr>
        <w:tblStyle w:val="Listaclara-nfasis11"/>
        <w:tblpPr w:leftFromText="141" w:rightFromText="141" w:vertAnchor="text" w:horzAnchor="margin" w:tblpXSpec="center" w:tblpY="246"/>
        <w:tblW w:w="90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7"/>
        <w:gridCol w:w="2132"/>
        <w:gridCol w:w="3279"/>
        <w:gridCol w:w="917"/>
        <w:gridCol w:w="1221"/>
      </w:tblGrid>
      <w:tr w:rsidR="00DD1501" w:rsidRPr="00DD1501" w14:paraId="6910EEF8" w14:textId="77777777" w:rsidTr="00DD150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17" w:type="dxa"/>
            <w:shd w:val="clear" w:color="auto" w:fill="auto"/>
          </w:tcPr>
          <w:p w14:paraId="0FA6D340" w14:textId="77777777" w:rsidR="00DD1501" w:rsidRPr="00DD1501" w:rsidRDefault="00DD1501" w:rsidP="00DD1501">
            <w:pPr>
              <w:spacing w:before="60"/>
              <w:jc w:val="center"/>
              <w:rPr>
                <w:rFonts w:ascii="Times New Roman" w:eastAsia="Times New Roman" w:hAnsi="Times New Roman" w:cs="Times New Roman"/>
                <w:color w:val="000000"/>
                <w:sz w:val="18"/>
                <w:szCs w:val="18"/>
                <w:lang w:eastAsia="es-ES_tradnl"/>
              </w:rPr>
            </w:pPr>
            <w:proofErr w:type="spellStart"/>
            <w:r w:rsidRPr="00DD1501">
              <w:rPr>
                <w:rFonts w:ascii="Times New Roman" w:eastAsia="Times New Roman" w:hAnsi="Times New Roman" w:cs="Times New Roman"/>
                <w:color w:val="000000"/>
                <w:sz w:val="18"/>
                <w:szCs w:val="18"/>
                <w:lang w:eastAsia="es-ES_tradnl"/>
              </w:rPr>
              <w:t>Hipótesis</w:t>
            </w:r>
            <w:proofErr w:type="spellEnd"/>
            <w:r w:rsidRPr="00DD1501">
              <w:rPr>
                <w:rFonts w:ascii="Times New Roman" w:eastAsia="Times New Roman" w:hAnsi="Times New Roman" w:cs="Times New Roman"/>
                <w:color w:val="000000"/>
                <w:sz w:val="18"/>
                <w:szCs w:val="18"/>
                <w:lang w:eastAsia="es-ES_tradnl"/>
              </w:rPr>
              <w:t xml:space="preserve"> de </w:t>
            </w:r>
            <w:proofErr w:type="spellStart"/>
            <w:r w:rsidRPr="00DD1501">
              <w:rPr>
                <w:rFonts w:ascii="Times New Roman" w:eastAsia="Times New Roman" w:hAnsi="Times New Roman" w:cs="Times New Roman"/>
                <w:color w:val="000000"/>
                <w:sz w:val="18"/>
                <w:szCs w:val="18"/>
                <w:lang w:eastAsia="es-ES_tradnl"/>
              </w:rPr>
              <w:t>investigación</w:t>
            </w:r>
            <w:proofErr w:type="spellEnd"/>
          </w:p>
        </w:tc>
        <w:tc>
          <w:tcPr>
            <w:tcW w:w="2132" w:type="dxa"/>
            <w:shd w:val="clear" w:color="auto" w:fill="auto"/>
          </w:tcPr>
          <w:p w14:paraId="0E02EAE9" w14:textId="77777777" w:rsidR="00DD1501" w:rsidRPr="00DD1501" w:rsidRDefault="00DD1501" w:rsidP="00DD150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 xml:space="preserve">Variables </w:t>
            </w:r>
            <w:proofErr w:type="spellStart"/>
            <w:r w:rsidRPr="00DD1501">
              <w:rPr>
                <w:rFonts w:ascii="Times New Roman" w:eastAsia="Times New Roman" w:hAnsi="Times New Roman" w:cs="Times New Roman"/>
                <w:color w:val="000000"/>
                <w:sz w:val="18"/>
                <w:szCs w:val="18"/>
                <w:lang w:eastAsia="es-ES_tradnl"/>
              </w:rPr>
              <w:t>independientes</w:t>
            </w:r>
            <w:proofErr w:type="spellEnd"/>
          </w:p>
        </w:tc>
        <w:tc>
          <w:tcPr>
            <w:tcW w:w="3279" w:type="dxa"/>
            <w:shd w:val="clear" w:color="auto" w:fill="auto"/>
            <w:noWrap/>
            <w:hideMark/>
          </w:tcPr>
          <w:p w14:paraId="20FAAA03" w14:textId="77777777" w:rsidR="00DD1501" w:rsidRPr="00DD1501" w:rsidRDefault="00DD1501" w:rsidP="00DD150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vertAlign w:val="superscript"/>
                <w:lang w:eastAsia="es-ES_tradnl"/>
              </w:rPr>
            </w:pPr>
            <w:proofErr w:type="spellStart"/>
            <w:r w:rsidRPr="00DD1501">
              <w:rPr>
                <w:rFonts w:ascii="Times New Roman" w:eastAsia="Times New Roman" w:hAnsi="Times New Roman" w:cs="Times New Roman"/>
                <w:color w:val="000000"/>
                <w:sz w:val="18"/>
                <w:szCs w:val="18"/>
                <w:lang w:eastAsia="es-ES_tradnl"/>
              </w:rPr>
              <w:t>Definición</w:t>
            </w:r>
            <w:proofErr w:type="spellEnd"/>
            <w:r w:rsidRPr="00DD1501">
              <w:rPr>
                <w:rFonts w:ascii="Times New Roman" w:eastAsia="Times New Roman" w:hAnsi="Times New Roman" w:cs="Times New Roman"/>
                <w:color w:val="000000"/>
                <w:sz w:val="18"/>
                <w:szCs w:val="18"/>
                <w:lang w:eastAsia="es-ES_tradnl"/>
              </w:rPr>
              <w:t xml:space="preserve"> de variables</w:t>
            </w:r>
            <w:r w:rsidRPr="00DD1501">
              <w:rPr>
                <w:rFonts w:ascii="Times New Roman" w:eastAsia="Times New Roman" w:hAnsi="Times New Roman" w:cs="Times New Roman"/>
                <w:color w:val="000000"/>
                <w:sz w:val="18"/>
                <w:szCs w:val="18"/>
                <w:vertAlign w:val="superscript"/>
                <w:lang w:eastAsia="es-ES_tradnl"/>
              </w:rPr>
              <w:t>*</w:t>
            </w:r>
          </w:p>
        </w:tc>
        <w:tc>
          <w:tcPr>
            <w:tcW w:w="917" w:type="dxa"/>
            <w:shd w:val="clear" w:color="auto" w:fill="auto"/>
          </w:tcPr>
          <w:p w14:paraId="4B5905DD" w14:textId="77777777" w:rsidR="00DD1501" w:rsidRPr="00DD1501" w:rsidRDefault="00DD1501" w:rsidP="00DD150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proofErr w:type="spellStart"/>
            <w:r w:rsidRPr="00DD1501">
              <w:rPr>
                <w:rFonts w:ascii="Times New Roman" w:eastAsia="Times New Roman" w:hAnsi="Times New Roman" w:cs="Times New Roman"/>
                <w:color w:val="000000"/>
                <w:sz w:val="18"/>
                <w:szCs w:val="18"/>
                <w:lang w:eastAsia="es-ES_tradnl"/>
              </w:rPr>
              <w:t>Código</w:t>
            </w:r>
            <w:proofErr w:type="spellEnd"/>
          </w:p>
        </w:tc>
        <w:tc>
          <w:tcPr>
            <w:tcW w:w="1221" w:type="dxa"/>
            <w:shd w:val="clear" w:color="auto" w:fill="auto"/>
          </w:tcPr>
          <w:p w14:paraId="3142C1C8" w14:textId="77777777" w:rsidR="00DD1501" w:rsidRPr="00DD1501" w:rsidRDefault="00DD1501" w:rsidP="00DD1501">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vertAlign w:val="superscript"/>
                <w:lang w:eastAsia="es-ES_tradnl"/>
              </w:rPr>
            </w:pPr>
            <w:proofErr w:type="spellStart"/>
            <w:r w:rsidRPr="00DD1501">
              <w:rPr>
                <w:rFonts w:ascii="Times New Roman" w:eastAsia="Times New Roman" w:hAnsi="Times New Roman" w:cs="Times New Roman"/>
                <w:color w:val="000000"/>
                <w:sz w:val="18"/>
                <w:szCs w:val="18"/>
                <w:lang w:eastAsia="es-ES_tradnl"/>
              </w:rPr>
              <w:t>Signo</w:t>
            </w:r>
            <w:proofErr w:type="spellEnd"/>
            <w:r w:rsidRPr="00DD1501">
              <w:rPr>
                <w:rFonts w:ascii="Times New Roman" w:eastAsia="Times New Roman" w:hAnsi="Times New Roman" w:cs="Times New Roman"/>
                <w:color w:val="000000"/>
                <w:sz w:val="18"/>
                <w:szCs w:val="18"/>
                <w:lang w:eastAsia="es-ES_tradnl"/>
              </w:rPr>
              <w:t xml:space="preserve"> </w:t>
            </w:r>
            <w:proofErr w:type="spellStart"/>
            <w:r w:rsidRPr="00DD1501">
              <w:rPr>
                <w:rFonts w:ascii="Times New Roman" w:eastAsia="Times New Roman" w:hAnsi="Times New Roman" w:cs="Times New Roman"/>
                <w:color w:val="000000"/>
                <w:sz w:val="18"/>
                <w:szCs w:val="18"/>
                <w:lang w:eastAsia="es-ES_tradnl"/>
              </w:rPr>
              <w:t>esperado</w:t>
            </w:r>
            <w:proofErr w:type="spellEnd"/>
            <w:r w:rsidRPr="00DD1501">
              <w:rPr>
                <w:rFonts w:ascii="Times New Roman" w:eastAsia="Times New Roman" w:hAnsi="Times New Roman" w:cs="Times New Roman"/>
                <w:color w:val="000000"/>
                <w:sz w:val="18"/>
                <w:szCs w:val="18"/>
                <w:vertAlign w:val="superscript"/>
                <w:lang w:eastAsia="es-ES_tradnl"/>
              </w:rPr>
              <w:t>**</w:t>
            </w:r>
          </w:p>
        </w:tc>
      </w:tr>
      <w:tr w:rsidR="00DD1501" w:rsidRPr="00DD1501" w14:paraId="62C1C475" w14:textId="77777777" w:rsidTr="00DD150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517" w:type="dxa"/>
            <w:tcBorders>
              <w:top w:val="none" w:sz="0" w:space="0" w:color="auto"/>
              <w:left w:val="none" w:sz="0" w:space="0" w:color="auto"/>
              <w:bottom w:val="none" w:sz="0" w:space="0" w:color="auto"/>
            </w:tcBorders>
          </w:tcPr>
          <w:p w14:paraId="49AC8DB7" w14:textId="77777777" w:rsidR="00DD1501" w:rsidRPr="00DD1501" w:rsidRDefault="00DD1501" w:rsidP="00DD1501">
            <w:pPr>
              <w:spacing w:before="60"/>
              <w:jc w:val="center"/>
              <w:rPr>
                <w:rFonts w:ascii="Times New Roman" w:eastAsia="Times New Roman" w:hAnsi="Times New Roman" w:cs="Times New Roman"/>
                <w:b w:val="0"/>
                <w:i/>
                <w:color w:val="000000"/>
                <w:sz w:val="18"/>
                <w:szCs w:val="18"/>
                <w:lang w:eastAsia="es-ES_tradnl"/>
              </w:rPr>
            </w:pPr>
            <w:r w:rsidRPr="00DD1501">
              <w:rPr>
                <w:rFonts w:ascii="Times New Roman" w:eastAsia="Times New Roman" w:hAnsi="Times New Roman" w:cs="Times New Roman"/>
                <w:b w:val="0"/>
                <w:i/>
                <w:color w:val="000000"/>
                <w:sz w:val="18"/>
                <w:szCs w:val="18"/>
                <w:lang w:eastAsia="es-ES_tradnl"/>
              </w:rPr>
              <w:t>H1</w:t>
            </w:r>
          </w:p>
        </w:tc>
        <w:tc>
          <w:tcPr>
            <w:tcW w:w="2132" w:type="dxa"/>
            <w:tcBorders>
              <w:top w:val="none" w:sz="0" w:space="0" w:color="auto"/>
              <w:bottom w:val="none" w:sz="0" w:space="0" w:color="auto"/>
            </w:tcBorders>
          </w:tcPr>
          <w:p w14:paraId="7BC5755A"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proofErr w:type="spellStart"/>
            <w:r w:rsidRPr="00DD1501">
              <w:rPr>
                <w:rFonts w:ascii="Times New Roman" w:eastAsia="Times New Roman" w:hAnsi="Times New Roman" w:cs="Times New Roman"/>
                <w:color w:val="000000"/>
                <w:sz w:val="18"/>
                <w:szCs w:val="18"/>
                <w:lang w:eastAsia="es-ES_tradnl"/>
              </w:rPr>
              <w:t>Amortización</w:t>
            </w:r>
            <w:proofErr w:type="spellEnd"/>
          </w:p>
        </w:tc>
        <w:tc>
          <w:tcPr>
            <w:tcW w:w="3279" w:type="dxa"/>
            <w:tcBorders>
              <w:top w:val="none" w:sz="0" w:space="0" w:color="auto"/>
              <w:bottom w:val="none" w:sz="0" w:space="0" w:color="auto"/>
            </w:tcBorders>
            <w:hideMark/>
          </w:tcPr>
          <w:p w14:paraId="6133EFA9"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w:t>
            </w:r>
            <w:proofErr w:type="spellStart"/>
            <w:r w:rsidRPr="00DD1501">
              <w:rPr>
                <w:rFonts w:ascii="Times New Roman" w:eastAsia="Times New Roman" w:hAnsi="Times New Roman" w:cs="Times New Roman"/>
                <w:color w:val="000000"/>
                <w:sz w:val="18"/>
                <w:szCs w:val="18"/>
                <w:lang w:eastAsia="es-ES_tradnl"/>
              </w:rPr>
              <w:t>Gastos</w:t>
            </w:r>
            <w:proofErr w:type="spellEnd"/>
            <w:r w:rsidRPr="00DD1501">
              <w:rPr>
                <w:rFonts w:ascii="Times New Roman" w:eastAsia="Times New Roman" w:hAnsi="Times New Roman" w:cs="Times New Roman"/>
                <w:color w:val="000000"/>
                <w:sz w:val="18"/>
                <w:szCs w:val="18"/>
                <w:lang w:eastAsia="es-ES_tradnl"/>
              </w:rPr>
              <w:t xml:space="preserve"> </w:t>
            </w:r>
            <w:proofErr w:type="spellStart"/>
            <w:r w:rsidRPr="00DD1501">
              <w:rPr>
                <w:rFonts w:ascii="Times New Roman" w:eastAsia="Times New Roman" w:hAnsi="Times New Roman" w:cs="Times New Roman"/>
                <w:color w:val="000000"/>
                <w:sz w:val="18"/>
                <w:szCs w:val="18"/>
                <w:lang w:eastAsia="es-ES_tradnl"/>
              </w:rPr>
              <w:t>Amortización</w:t>
            </w:r>
            <w:proofErr w:type="spellEnd"/>
            <w:r w:rsidRPr="00DD1501">
              <w:rPr>
                <w:rFonts w:ascii="Times New Roman" w:eastAsia="Times New Roman" w:hAnsi="Times New Roman" w:cs="Times New Roman"/>
                <w:color w:val="000000"/>
                <w:sz w:val="18"/>
                <w:szCs w:val="18"/>
                <w:lang w:eastAsia="es-ES_tradnl"/>
              </w:rPr>
              <w:t>/</w:t>
            </w:r>
            <w:proofErr w:type="spellStart"/>
            <w:r w:rsidRPr="00DD1501">
              <w:rPr>
                <w:rFonts w:ascii="Times New Roman" w:eastAsia="Times New Roman" w:hAnsi="Times New Roman" w:cs="Times New Roman"/>
                <w:color w:val="000000"/>
                <w:sz w:val="18"/>
                <w:szCs w:val="18"/>
                <w:lang w:eastAsia="es-ES_tradnl"/>
              </w:rPr>
              <w:t>Gastos</w:t>
            </w:r>
            <w:proofErr w:type="spellEnd"/>
            <w:r w:rsidRPr="00DD1501">
              <w:rPr>
                <w:rFonts w:ascii="Times New Roman" w:eastAsia="Times New Roman" w:hAnsi="Times New Roman" w:cs="Times New Roman"/>
                <w:color w:val="000000"/>
                <w:sz w:val="18"/>
                <w:szCs w:val="18"/>
                <w:lang w:eastAsia="es-ES_tradnl"/>
              </w:rPr>
              <w:t xml:space="preserve"> </w:t>
            </w:r>
            <w:proofErr w:type="spellStart"/>
            <w:r w:rsidRPr="00DD1501">
              <w:rPr>
                <w:rFonts w:ascii="Times New Roman" w:eastAsia="Times New Roman" w:hAnsi="Times New Roman" w:cs="Times New Roman"/>
                <w:color w:val="000000"/>
                <w:sz w:val="18"/>
                <w:szCs w:val="18"/>
                <w:lang w:eastAsia="es-ES_tradnl"/>
              </w:rPr>
              <w:t>Totales</w:t>
            </w:r>
            <w:proofErr w:type="spellEnd"/>
            <w:r w:rsidRPr="00DD1501">
              <w:rPr>
                <w:rFonts w:ascii="Times New Roman" w:eastAsia="Times New Roman" w:hAnsi="Times New Roman" w:cs="Times New Roman"/>
                <w:color w:val="000000"/>
                <w:sz w:val="18"/>
                <w:szCs w:val="18"/>
                <w:lang w:eastAsia="es-ES_tradnl"/>
              </w:rPr>
              <w:t>)</w:t>
            </w:r>
          </w:p>
        </w:tc>
        <w:tc>
          <w:tcPr>
            <w:tcW w:w="917" w:type="dxa"/>
            <w:tcBorders>
              <w:top w:val="none" w:sz="0" w:space="0" w:color="auto"/>
              <w:bottom w:val="none" w:sz="0" w:space="0" w:color="auto"/>
            </w:tcBorders>
          </w:tcPr>
          <w:p w14:paraId="207E0AE0"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AMRT</w:t>
            </w:r>
          </w:p>
        </w:tc>
        <w:tc>
          <w:tcPr>
            <w:tcW w:w="1221" w:type="dxa"/>
            <w:tcBorders>
              <w:top w:val="none" w:sz="0" w:space="0" w:color="auto"/>
              <w:bottom w:val="none" w:sz="0" w:space="0" w:color="auto"/>
              <w:right w:val="none" w:sz="0" w:space="0" w:color="auto"/>
            </w:tcBorders>
          </w:tcPr>
          <w:p w14:paraId="1E73FD1B"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w:t>
            </w:r>
          </w:p>
        </w:tc>
      </w:tr>
      <w:tr w:rsidR="00DD1501" w:rsidRPr="00DD1501" w14:paraId="09DF019B" w14:textId="77777777" w:rsidTr="00DD1501">
        <w:trPr>
          <w:trHeight w:hRule="exact" w:val="567"/>
        </w:trPr>
        <w:tc>
          <w:tcPr>
            <w:cnfStyle w:val="001000000000" w:firstRow="0" w:lastRow="0" w:firstColumn="1" w:lastColumn="0" w:oddVBand="0" w:evenVBand="0" w:oddHBand="0" w:evenHBand="0" w:firstRowFirstColumn="0" w:firstRowLastColumn="0" w:lastRowFirstColumn="0" w:lastRowLastColumn="0"/>
            <w:tcW w:w="1517" w:type="dxa"/>
          </w:tcPr>
          <w:p w14:paraId="3E9A9991" w14:textId="77777777" w:rsidR="00DD1501" w:rsidRPr="00DD1501" w:rsidRDefault="00DD1501" w:rsidP="00DD1501">
            <w:pPr>
              <w:spacing w:before="60"/>
              <w:jc w:val="center"/>
              <w:rPr>
                <w:rFonts w:ascii="Times New Roman" w:eastAsia="Times New Roman" w:hAnsi="Times New Roman" w:cs="Times New Roman"/>
                <w:b w:val="0"/>
                <w:i/>
                <w:color w:val="000000"/>
                <w:sz w:val="18"/>
                <w:szCs w:val="18"/>
                <w:lang w:eastAsia="es-ES_tradnl"/>
              </w:rPr>
            </w:pPr>
            <w:r w:rsidRPr="00DD1501">
              <w:rPr>
                <w:rFonts w:ascii="Times New Roman" w:eastAsia="Times New Roman" w:hAnsi="Times New Roman" w:cs="Times New Roman"/>
                <w:b w:val="0"/>
                <w:i/>
                <w:color w:val="000000"/>
                <w:sz w:val="18"/>
                <w:szCs w:val="18"/>
                <w:lang w:eastAsia="es-ES_tradnl"/>
              </w:rPr>
              <w:t>H2</w:t>
            </w:r>
          </w:p>
        </w:tc>
        <w:tc>
          <w:tcPr>
            <w:tcW w:w="2132" w:type="dxa"/>
          </w:tcPr>
          <w:p w14:paraId="4C021A14"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proofErr w:type="spellStart"/>
            <w:r w:rsidRPr="00DD1501">
              <w:rPr>
                <w:rFonts w:ascii="Times New Roman" w:eastAsia="Times New Roman" w:hAnsi="Times New Roman" w:cs="Times New Roman"/>
                <w:color w:val="000000"/>
                <w:sz w:val="18"/>
                <w:szCs w:val="18"/>
                <w:lang w:eastAsia="es-ES_tradnl"/>
              </w:rPr>
              <w:t>Autofinanciación</w:t>
            </w:r>
            <w:proofErr w:type="spellEnd"/>
          </w:p>
        </w:tc>
        <w:tc>
          <w:tcPr>
            <w:tcW w:w="3279" w:type="dxa"/>
            <w:hideMark/>
          </w:tcPr>
          <w:p w14:paraId="07AF5945"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w:t>
            </w:r>
            <w:proofErr w:type="spellStart"/>
            <w:r w:rsidRPr="00DD1501">
              <w:rPr>
                <w:rFonts w:ascii="Times New Roman" w:eastAsia="Times New Roman" w:hAnsi="Times New Roman" w:cs="Times New Roman"/>
                <w:color w:val="000000"/>
                <w:sz w:val="18"/>
                <w:szCs w:val="18"/>
                <w:lang w:eastAsia="es-ES_tradnl"/>
              </w:rPr>
              <w:t>Reservas+Amortización</w:t>
            </w:r>
            <w:proofErr w:type="spellEnd"/>
            <w:r w:rsidRPr="00DD1501">
              <w:rPr>
                <w:rFonts w:ascii="Times New Roman" w:eastAsia="Times New Roman" w:hAnsi="Times New Roman" w:cs="Times New Roman"/>
                <w:color w:val="000000"/>
                <w:sz w:val="18"/>
                <w:szCs w:val="18"/>
                <w:lang w:eastAsia="es-ES_tradnl"/>
              </w:rPr>
              <w:t>)/AT)</w:t>
            </w:r>
          </w:p>
        </w:tc>
        <w:tc>
          <w:tcPr>
            <w:tcW w:w="917" w:type="dxa"/>
          </w:tcPr>
          <w:p w14:paraId="6D006409"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AUTO</w:t>
            </w:r>
          </w:p>
        </w:tc>
        <w:tc>
          <w:tcPr>
            <w:tcW w:w="1221" w:type="dxa"/>
          </w:tcPr>
          <w:p w14:paraId="430AA169"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w:t>
            </w:r>
          </w:p>
        </w:tc>
      </w:tr>
      <w:tr w:rsidR="00DD1501" w:rsidRPr="00DD1501" w14:paraId="04267F2D" w14:textId="77777777" w:rsidTr="00DD150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517" w:type="dxa"/>
            <w:tcBorders>
              <w:top w:val="none" w:sz="0" w:space="0" w:color="auto"/>
              <w:left w:val="none" w:sz="0" w:space="0" w:color="auto"/>
              <w:bottom w:val="none" w:sz="0" w:space="0" w:color="auto"/>
            </w:tcBorders>
          </w:tcPr>
          <w:p w14:paraId="4B4D3D39" w14:textId="77777777" w:rsidR="00DD1501" w:rsidRPr="00DD1501" w:rsidRDefault="00DD1501" w:rsidP="00DD1501">
            <w:pPr>
              <w:spacing w:before="60"/>
              <w:jc w:val="center"/>
              <w:rPr>
                <w:rFonts w:ascii="Times New Roman" w:eastAsia="Times New Roman" w:hAnsi="Times New Roman" w:cs="Times New Roman"/>
                <w:b w:val="0"/>
                <w:i/>
                <w:color w:val="000000"/>
                <w:sz w:val="18"/>
                <w:szCs w:val="18"/>
                <w:lang w:eastAsia="es-ES_tradnl"/>
              </w:rPr>
            </w:pPr>
            <w:r w:rsidRPr="00DD1501">
              <w:rPr>
                <w:rFonts w:ascii="Times New Roman" w:eastAsia="Times New Roman" w:hAnsi="Times New Roman" w:cs="Times New Roman"/>
                <w:b w:val="0"/>
                <w:i/>
                <w:color w:val="000000"/>
                <w:sz w:val="18"/>
                <w:szCs w:val="18"/>
                <w:lang w:eastAsia="es-ES_tradnl"/>
              </w:rPr>
              <w:t>H3</w:t>
            </w:r>
          </w:p>
        </w:tc>
        <w:tc>
          <w:tcPr>
            <w:tcW w:w="2132" w:type="dxa"/>
            <w:tcBorders>
              <w:top w:val="none" w:sz="0" w:space="0" w:color="auto"/>
              <w:bottom w:val="none" w:sz="0" w:space="0" w:color="auto"/>
            </w:tcBorders>
          </w:tcPr>
          <w:p w14:paraId="6D328A19"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proofErr w:type="spellStart"/>
            <w:r w:rsidRPr="00DD1501">
              <w:rPr>
                <w:rFonts w:ascii="Times New Roman" w:eastAsia="Times New Roman" w:hAnsi="Times New Roman" w:cs="Times New Roman"/>
                <w:color w:val="000000"/>
                <w:sz w:val="18"/>
                <w:szCs w:val="18"/>
                <w:lang w:eastAsia="es-ES_tradnl"/>
              </w:rPr>
              <w:t>Composición</w:t>
            </w:r>
            <w:proofErr w:type="spellEnd"/>
            <w:r w:rsidRPr="00DD1501">
              <w:rPr>
                <w:rFonts w:ascii="Times New Roman" w:eastAsia="Times New Roman" w:hAnsi="Times New Roman" w:cs="Times New Roman"/>
                <w:color w:val="000000"/>
                <w:sz w:val="18"/>
                <w:szCs w:val="18"/>
                <w:lang w:eastAsia="es-ES_tradnl"/>
              </w:rPr>
              <w:t xml:space="preserve"> </w:t>
            </w:r>
            <w:proofErr w:type="spellStart"/>
            <w:r w:rsidRPr="00DD1501">
              <w:rPr>
                <w:rFonts w:ascii="Times New Roman" w:eastAsia="Times New Roman" w:hAnsi="Times New Roman" w:cs="Times New Roman"/>
                <w:color w:val="000000"/>
                <w:sz w:val="18"/>
                <w:szCs w:val="18"/>
                <w:lang w:eastAsia="es-ES_tradnl"/>
              </w:rPr>
              <w:t>activo</w:t>
            </w:r>
            <w:proofErr w:type="spellEnd"/>
          </w:p>
        </w:tc>
        <w:tc>
          <w:tcPr>
            <w:tcW w:w="3279" w:type="dxa"/>
            <w:tcBorders>
              <w:top w:val="none" w:sz="0" w:space="0" w:color="auto"/>
              <w:bottom w:val="none" w:sz="0" w:space="0" w:color="auto"/>
            </w:tcBorders>
            <w:noWrap/>
            <w:hideMark/>
          </w:tcPr>
          <w:p w14:paraId="46E8CB7B"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(ANC/AT)</w:t>
            </w:r>
          </w:p>
        </w:tc>
        <w:tc>
          <w:tcPr>
            <w:tcW w:w="917" w:type="dxa"/>
            <w:tcBorders>
              <w:top w:val="none" w:sz="0" w:space="0" w:color="auto"/>
              <w:bottom w:val="none" w:sz="0" w:space="0" w:color="auto"/>
            </w:tcBorders>
          </w:tcPr>
          <w:p w14:paraId="6BD304D3"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COMA</w:t>
            </w:r>
          </w:p>
        </w:tc>
        <w:tc>
          <w:tcPr>
            <w:tcW w:w="1221" w:type="dxa"/>
            <w:tcBorders>
              <w:top w:val="none" w:sz="0" w:space="0" w:color="auto"/>
              <w:bottom w:val="none" w:sz="0" w:space="0" w:color="auto"/>
              <w:right w:val="none" w:sz="0" w:space="0" w:color="auto"/>
            </w:tcBorders>
          </w:tcPr>
          <w:p w14:paraId="196CF603"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w:t>
            </w:r>
          </w:p>
        </w:tc>
      </w:tr>
      <w:tr w:rsidR="00DD1501" w:rsidRPr="00DD1501" w14:paraId="791929D5" w14:textId="77777777" w:rsidTr="00DD1501">
        <w:trPr>
          <w:trHeight w:hRule="exact" w:val="397"/>
        </w:trPr>
        <w:tc>
          <w:tcPr>
            <w:cnfStyle w:val="001000000000" w:firstRow="0" w:lastRow="0" w:firstColumn="1" w:lastColumn="0" w:oddVBand="0" w:evenVBand="0" w:oddHBand="0" w:evenHBand="0" w:firstRowFirstColumn="0" w:firstRowLastColumn="0" w:lastRowFirstColumn="0" w:lastRowLastColumn="0"/>
            <w:tcW w:w="1517" w:type="dxa"/>
            <w:vMerge w:val="restart"/>
          </w:tcPr>
          <w:p w14:paraId="53E989A8" w14:textId="77777777" w:rsidR="00DD1501" w:rsidRPr="00DD1501" w:rsidRDefault="00DD1501" w:rsidP="00DD1501">
            <w:pPr>
              <w:spacing w:before="60"/>
              <w:jc w:val="center"/>
              <w:rPr>
                <w:rFonts w:ascii="Times New Roman" w:eastAsia="Times New Roman" w:hAnsi="Times New Roman" w:cs="Times New Roman"/>
                <w:b w:val="0"/>
                <w:i/>
                <w:color w:val="000000"/>
                <w:sz w:val="18"/>
                <w:szCs w:val="18"/>
                <w:lang w:eastAsia="es-ES_tradnl"/>
              </w:rPr>
            </w:pPr>
          </w:p>
          <w:p w14:paraId="4152E798" w14:textId="77777777" w:rsidR="00DD1501" w:rsidRPr="00DD1501" w:rsidRDefault="00DD1501" w:rsidP="00DD1501">
            <w:pPr>
              <w:spacing w:before="60"/>
              <w:jc w:val="center"/>
              <w:rPr>
                <w:rFonts w:ascii="Times New Roman" w:eastAsia="Times New Roman" w:hAnsi="Times New Roman" w:cs="Times New Roman"/>
                <w:b w:val="0"/>
                <w:i/>
                <w:color w:val="000000"/>
                <w:sz w:val="18"/>
                <w:szCs w:val="18"/>
                <w:lang w:eastAsia="es-ES_tradnl"/>
              </w:rPr>
            </w:pPr>
            <w:r w:rsidRPr="00DD1501">
              <w:rPr>
                <w:rFonts w:ascii="Times New Roman" w:eastAsia="Times New Roman" w:hAnsi="Times New Roman" w:cs="Times New Roman"/>
                <w:b w:val="0"/>
                <w:i/>
                <w:color w:val="000000"/>
                <w:sz w:val="18"/>
                <w:szCs w:val="18"/>
                <w:lang w:eastAsia="es-ES_tradnl"/>
              </w:rPr>
              <w:t>H4</w:t>
            </w:r>
          </w:p>
        </w:tc>
        <w:tc>
          <w:tcPr>
            <w:tcW w:w="2132" w:type="dxa"/>
          </w:tcPr>
          <w:p w14:paraId="248B8BD6"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proofErr w:type="spellStart"/>
            <w:r w:rsidRPr="00DD1501">
              <w:rPr>
                <w:rFonts w:ascii="Times New Roman" w:eastAsia="Times New Roman" w:hAnsi="Times New Roman" w:cs="Times New Roman"/>
                <w:color w:val="000000"/>
                <w:sz w:val="18"/>
                <w:szCs w:val="18"/>
                <w:lang w:eastAsia="es-ES_tradnl"/>
              </w:rPr>
              <w:t>Liquidez</w:t>
            </w:r>
            <w:proofErr w:type="spellEnd"/>
            <w:r w:rsidRPr="00DD1501">
              <w:rPr>
                <w:rFonts w:ascii="Times New Roman" w:eastAsia="Times New Roman" w:hAnsi="Times New Roman" w:cs="Times New Roman"/>
                <w:color w:val="000000"/>
                <w:sz w:val="18"/>
                <w:szCs w:val="18"/>
                <w:lang w:eastAsia="es-ES_tradnl"/>
              </w:rPr>
              <w:t xml:space="preserve"> general</w:t>
            </w:r>
          </w:p>
        </w:tc>
        <w:tc>
          <w:tcPr>
            <w:tcW w:w="3279" w:type="dxa"/>
            <w:noWrap/>
            <w:hideMark/>
          </w:tcPr>
          <w:p w14:paraId="18804D83"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 xml:space="preserve"> (AC/PC)</w:t>
            </w:r>
          </w:p>
        </w:tc>
        <w:tc>
          <w:tcPr>
            <w:tcW w:w="917" w:type="dxa"/>
          </w:tcPr>
          <w:p w14:paraId="0D2A59FC"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LIQ1</w:t>
            </w:r>
          </w:p>
        </w:tc>
        <w:tc>
          <w:tcPr>
            <w:tcW w:w="1221" w:type="dxa"/>
          </w:tcPr>
          <w:p w14:paraId="2CCABF49"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w:t>
            </w:r>
          </w:p>
        </w:tc>
      </w:tr>
      <w:tr w:rsidR="00DD1501" w:rsidRPr="00DD1501" w14:paraId="42C3A636" w14:textId="77777777" w:rsidTr="00DD150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517" w:type="dxa"/>
            <w:vMerge/>
            <w:tcBorders>
              <w:top w:val="none" w:sz="0" w:space="0" w:color="auto"/>
              <w:left w:val="none" w:sz="0" w:space="0" w:color="auto"/>
              <w:bottom w:val="none" w:sz="0" w:space="0" w:color="auto"/>
            </w:tcBorders>
          </w:tcPr>
          <w:p w14:paraId="5566DA2C" w14:textId="77777777" w:rsidR="00DD1501" w:rsidRPr="00DD1501" w:rsidRDefault="00DD1501" w:rsidP="00DD1501">
            <w:pPr>
              <w:spacing w:before="60"/>
              <w:jc w:val="center"/>
              <w:rPr>
                <w:rFonts w:ascii="Times New Roman" w:eastAsia="Times New Roman" w:hAnsi="Times New Roman" w:cs="Times New Roman"/>
                <w:b w:val="0"/>
                <w:i/>
                <w:color w:val="000000"/>
                <w:sz w:val="18"/>
                <w:szCs w:val="18"/>
                <w:lang w:eastAsia="es-ES_tradnl"/>
              </w:rPr>
            </w:pPr>
          </w:p>
        </w:tc>
        <w:tc>
          <w:tcPr>
            <w:tcW w:w="2132" w:type="dxa"/>
            <w:tcBorders>
              <w:top w:val="none" w:sz="0" w:space="0" w:color="auto"/>
              <w:bottom w:val="none" w:sz="0" w:space="0" w:color="auto"/>
            </w:tcBorders>
          </w:tcPr>
          <w:p w14:paraId="65CCA552"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Acid test</w:t>
            </w:r>
          </w:p>
        </w:tc>
        <w:tc>
          <w:tcPr>
            <w:tcW w:w="3279" w:type="dxa"/>
            <w:tcBorders>
              <w:top w:val="none" w:sz="0" w:space="0" w:color="auto"/>
              <w:bottom w:val="none" w:sz="0" w:space="0" w:color="auto"/>
            </w:tcBorders>
            <w:noWrap/>
            <w:hideMark/>
          </w:tcPr>
          <w:p w14:paraId="76EF24BC"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w:t>
            </w:r>
            <w:proofErr w:type="spellStart"/>
            <w:r w:rsidRPr="00DD1501">
              <w:rPr>
                <w:rFonts w:ascii="Times New Roman" w:eastAsia="Times New Roman" w:hAnsi="Times New Roman" w:cs="Times New Roman"/>
                <w:color w:val="000000"/>
                <w:sz w:val="18"/>
                <w:szCs w:val="18"/>
                <w:lang w:eastAsia="es-ES_tradnl"/>
              </w:rPr>
              <w:t>Efectivo</w:t>
            </w:r>
            <w:proofErr w:type="spellEnd"/>
            <w:r w:rsidRPr="00DD1501">
              <w:rPr>
                <w:rFonts w:ascii="Times New Roman" w:eastAsia="Times New Roman" w:hAnsi="Times New Roman" w:cs="Times New Roman"/>
                <w:color w:val="000000"/>
                <w:sz w:val="18"/>
                <w:szCs w:val="18"/>
                <w:lang w:eastAsia="es-ES_tradnl"/>
              </w:rPr>
              <w:t xml:space="preserve"> / PC)</w:t>
            </w:r>
          </w:p>
        </w:tc>
        <w:tc>
          <w:tcPr>
            <w:tcW w:w="917" w:type="dxa"/>
            <w:tcBorders>
              <w:top w:val="none" w:sz="0" w:space="0" w:color="auto"/>
              <w:bottom w:val="none" w:sz="0" w:space="0" w:color="auto"/>
            </w:tcBorders>
          </w:tcPr>
          <w:p w14:paraId="4F613A5B"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LIQ2</w:t>
            </w:r>
          </w:p>
        </w:tc>
        <w:tc>
          <w:tcPr>
            <w:tcW w:w="1221" w:type="dxa"/>
            <w:tcBorders>
              <w:top w:val="none" w:sz="0" w:space="0" w:color="auto"/>
              <w:bottom w:val="none" w:sz="0" w:space="0" w:color="auto"/>
              <w:right w:val="none" w:sz="0" w:space="0" w:color="auto"/>
            </w:tcBorders>
          </w:tcPr>
          <w:p w14:paraId="60088ADA"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w:t>
            </w:r>
          </w:p>
        </w:tc>
      </w:tr>
      <w:tr w:rsidR="00DD1501" w:rsidRPr="00DD1501" w14:paraId="1D298950" w14:textId="77777777" w:rsidTr="00DD1501">
        <w:trPr>
          <w:trHeight w:hRule="exact" w:val="397"/>
        </w:trPr>
        <w:tc>
          <w:tcPr>
            <w:cnfStyle w:val="001000000000" w:firstRow="0" w:lastRow="0" w:firstColumn="1" w:lastColumn="0" w:oddVBand="0" w:evenVBand="0" w:oddHBand="0" w:evenHBand="0" w:firstRowFirstColumn="0" w:firstRowLastColumn="0" w:lastRowFirstColumn="0" w:lastRowLastColumn="0"/>
            <w:tcW w:w="1517" w:type="dxa"/>
            <w:vMerge w:val="restart"/>
          </w:tcPr>
          <w:p w14:paraId="66CC375D" w14:textId="77777777" w:rsidR="00DD1501" w:rsidRPr="00DD1501" w:rsidRDefault="00DD1501" w:rsidP="00DD1501">
            <w:pPr>
              <w:spacing w:before="60"/>
              <w:jc w:val="center"/>
              <w:rPr>
                <w:rFonts w:ascii="Times New Roman" w:eastAsia="Times New Roman" w:hAnsi="Times New Roman" w:cs="Times New Roman"/>
                <w:b w:val="0"/>
                <w:i/>
                <w:color w:val="000000"/>
                <w:sz w:val="18"/>
                <w:szCs w:val="18"/>
                <w:lang w:eastAsia="es-ES_tradnl"/>
              </w:rPr>
            </w:pPr>
          </w:p>
          <w:p w14:paraId="4374CB25" w14:textId="77777777" w:rsidR="00DD1501" w:rsidRPr="00DD1501" w:rsidRDefault="00DD1501" w:rsidP="00DD1501">
            <w:pPr>
              <w:spacing w:before="60"/>
              <w:jc w:val="center"/>
              <w:rPr>
                <w:rFonts w:ascii="Times New Roman" w:eastAsia="Times New Roman" w:hAnsi="Times New Roman" w:cs="Times New Roman"/>
                <w:b w:val="0"/>
                <w:i/>
                <w:color w:val="000000"/>
                <w:sz w:val="18"/>
                <w:szCs w:val="18"/>
                <w:lang w:eastAsia="es-ES_tradnl"/>
              </w:rPr>
            </w:pPr>
          </w:p>
          <w:p w14:paraId="72A2148B" w14:textId="77777777" w:rsidR="00DD1501" w:rsidRPr="00DD1501" w:rsidRDefault="00DD1501" w:rsidP="00DD1501">
            <w:pPr>
              <w:spacing w:before="60"/>
              <w:jc w:val="center"/>
              <w:rPr>
                <w:rFonts w:ascii="Times New Roman" w:eastAsia="Times New Roman" w:hAnsi="Times New Roman" w:cs="Times New Roman"/>
                <w:b w:val="0"/>
                <w:i/>
                <w:color w:val="000000"/>
                <w:sz w:val="18"/>
                <w:szCs w:val="18"/>
                <w:lang w:eastAsia="es-ES_tradnl"/>
              </w:rPr>
            </w:pPr>
            <w:r w:rsidRPr="00DD1501">
              <w:rPr>
                <w:rFonts w:ascii="Times New Roman" w:eastAsia="Times New Roman" w:hAnsi="Times New Roman" w:cs="Times New Roman"/>
                <w:b w:val="0"/>
                <w:i/>
                <w:color w:val="000000"/>
                <w:sz w:val="18"/>
                <w:szCs w:val="18"/>
                <w:lang w:eastAsia="es-ES_tradnl"/>
              </w:rPr>
              <w:t>H5</w:t>
            </w:r>
          </w:p>
        </w:tc>
        <w:tc>
          <w:tcPr>
            <w:tcW w:w="2132" w:type="dxa"/>
          </w:tcPr>
          <w:p w14:paraId="4EFB0AFC"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proofErr w:type="spellStart"/>
            <w:r w:rsidRPr="00DD1501">
              <w:rPr>
                <w:rFonts w:ascii="Times New Roman" w:eastAsia="Times New Roman" w:hAnsi="Times New Roman" w:cs="Times New Roman"/>
                <w:color w:val="000000"/>
                <w:sz w:val="18"/>
                <w:szCs w:val="18"/>
                <w:lang w:eastAsia="es-ES_tradnl"/>
              </w:rPr>
              <w:t>Logaritmo</w:t>
            </w:r>
            <w:proofErr w:type="spellEnd"/>
            <w:r w:rsidRPr="00DD1501">
              <w:rPr>
                <w:rFonts w:ascii="Times New Roman" w:eastAsia="Times New Roman" w:hAnsi="Times New Roman" w:cs="Times New Roman"/>
                <w:color w:val="000000"/>
                <w:sz w:val="18"/>
                <w:szCs w:val="18"/>
                <w:lang w:eastAsia="es-ES_tradnl"/>
              </w:rPr>
              <w:t xml:space="preserve"> </w:t>
            </w:r>
            <w:proofErr w:type="spellStart"/>
            <w:r w:rsidRPr="00DD1501">
              <w:rPr>
                <w:rFonts w:ascii="Times New Roman" w:eastAsia="Times New Roman" w:hAnsi="Times New Roman" w:cs="Times New Roman"/>
                <w:color w:val="000000"/>
                <w:sz w:val="18"/>
                <w:szCs w:val="18"/>
                <w:lang w:eastAsia="es-ES_tradnl"/>
              </w:rPr>
              <w:t>activo</w:t>
            </w:r>
            <w:proofErr w:type="spellEnd"/>
            <w:r w:rsidRPr="00DD1501">
              <w:rPr>
                <w:rFonts w:ascii="Times New Roman" w:eastAsia="Times New Roman" w:hAnsi="Times New Roman" w:cs="Times New Roman"/>
                <w:color w:val="000000"/>
                <w:sz w:val="18"/>
                <w:szCs w:val="18"/>
                <w:lang w:eastAsia="es-ES_tradnl"/>
              </w:rPr>
              <w:t xml:space="preserve"> total</w:t>
            </w:r>
          </w:p>
        </w:tc>
        <w:tc>
          <w:tcPr>
            <w:tcW w:w="3279" w:type="dxa"/>
            <w:noWrap/>
            <w:hideMark/>
          </w:tcPr>
          <w:p w14:paraId="0FE1545E"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Log. (AT)</w:t>
            </w:r>
          </w:p>
        </w:tc>
        <w:tc>
          <w:tcPr>
            <w:tcW w:w="917" w:type="dxa"/>
          </w:tcPr>
          <w:p w14:paraId="526E666D"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LOGA</w:t>
            </w:r>
          </w:p>
        </w:tc>
        <w:tc>
          <w:tcPr>
            <w:tcW w:w="1221" w:type="dxa"/>
          </w:tcPr>
          <w:p w14:paraId="705C39FD"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w:t>
            </w:r>
          </w:p>
        </w:tc>
      </w:tr>
      <w:tr w:rsidR="00DD1501" w:rsidRPr="00DD1501" w14:paraId="33A5B522" w14:textId="77777777" w:rsidTr="00DD150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517" w:type="dxa"/>
            <w:vMerge/>
            <w:tcBorders>
              <w:top w:val="none" w:sz="0" w:space="0" w:color="auto"/>
              <w:left w:val="none" w:sz="0" w:space="0" w:color="auto"/>
              <w:bottom w:val="none" w:sz="0" w:space="0" w:color="auto"/>
            </w:tcBorders>
          </w:tcPr>
          <w:p w14:paraId="5D8572D7" w14:textId="77777777" w:rsidR="00DD1501" w:rsidRPr="00DD1501" w:rsidRDefault="00DD1501" w:rsidP="00DD1501">
            <w:pPr>
              <w:spacing w:before="60"/>
              <w:jc w:val="center"/>
              <w:rPr>
                <w:rFonts w:ascii="Times New Roman" w:eastAsia="Times New Roman" w:hAnsi="Times New Roman" w:cs="Times New Roman"/>
                <w:b w:val="0"/>
                <w:i/>
                <w:color w:val="000000"/>
                <w:sz w:val="18"/>
                <w:szCs w:val="18"/>
                <w:lang w:eastAsia="es-ES_tradnl"/>
              </w:rPr>
            </w:pPr>
          </w:p>
        </w:tc>
        <w:tc>
          <w:tcPr>
            <w:tcW w:w="2132" w:type="dxa"/>
            <w:tcBorders>
              <w:top w:val="none" w:sz="0" w:space="0" w:color="auto"/>
              <w:bottom w:val="none" w:sz="0" w:space="0" w:color="auto"/>
            </w:tcBorders>
          </w:tcPr>
          <w:p w14:paraId="63938575"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proofErr w:type="spellStart"/>
            <w:r w:rsidRPr="00DD1501">
              <w:rPr>
                <w:rFonts w:ascii="Times New Roman" w:eastAsia="Times New Roman" w:hAnsi="Times New Roman" w:cs="Times New Roman"/>
                <w:color w:val="000000"/>
                <w:sz w:val="18"/>
                <w:szCs w:val="18"/>
                <w:lang w:eastAsia="es-ES_tradnl"/>
              </w:rPr>
              <w:t>Número</w:t>
            </w:r>
            <w:proofErr w:type="spellEnd"/>
            <w:r w:rsidRPr="00DD1501">
              <w:rPr>
                <w:rFonts w:ascii="Times New Roman" w:eastAsia="Times New Roman" w:hAnsi="Times New Roman" w:cs="Times New Roman"/>
                <w:color w:val="000000"/>
                <w:sz w:val="18"/>
                <w:szCs w:val="18"/>
                <w:lang w:eastAsia="es-ES_tradnl"/>
              </w:rPr>
              <w:t xml:space="preserve"> de </w:t>
            </w:r>
            <w:proofErr w:type="spellStart"/>
            <w:r w:rsidRPr="00DD1501">
              <w:rPr>
                <w:rFonts w:ascii="Times New Roman" w:eastAsia="Times New Roman" w:hAnsi="Times New Roman" w:cs="Times New Roman"/>
                <w:color w:val="000000"/>
                <w:sz w:val="18"/>
                <w:szCs w:val="18"/>
                <w:lang w:eastAsia="es-ES_tradnl"/>
              </w:rPr>
              <w:t>socios</w:t>
            </w:r>
            <w:proofErr w:type="spellEnd"/>
          </w:p>
        </w:tc>
        <w:tc>
          <w:tcPr>
            <w:tcW w:w="3279" w:type="dxa"/>
            <w:tcBorders>
              <w:top w:val="none" w:sz="0" w:space="0" w:color="auto"/>
              <w:bottom w:val="none" w:sz="0" w:space="0" w:color="auto"/>
            </w:tcBorders>
            <w:noWrap/>
          </w:tcPr>
          <w:p w14:paraId="2D73D42A"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proofErr w:type="spellStart"/>
            <w:r w:rsidRPr="00DD1501">
              <w:rPr>
                <w:rFonts w:ascii="Times New Roman" w:eastAsia="Times New Roman" w:hAnsi="Times New Roman" w:cs="Times New Roman"/>
                <w:color w:val="000000"/>
                <w:sz w:val="18"/>
                <w:szCs w:val="18"/>
                <w:lang w:eastAsia="es-ES_tradnl"/>
              </w:rPr>
              <w:t>Número</w:t>
            </w:r>
            <w:proofErr w:type="spellEnd"/>
            <w:r w:rsidRPr="00DD1501">
              <w:rPr>
                <w:rFonts w:ascii="Times New Roman" w:eastAsia="Times New Roman" w:hAnsi="Times New Roman" w:cs="Times New Roman"/>
                <w:color w:val="000000"/>
                <w:sz w:val="18"/>
                <w:szCs w:val="18"/>
                <w:lang w:eastAsia="es-ES_tradnl"/>
              </w:rPr>
              <w:t xml:space="preserve"> de </w:t>
            </w:r>
            <w:proofErr w:type="spellStart"/>
            <w:r w:rsidRPr="00DD1501">
              <w:rPr>
                <w:rFonts w:ascii="Times New Roman" w:eastAsia="Times New Roman" w:hAnsi="Times New Roman" w:cs="Times New Roman"/>
                <w:color w:val="000000"/>
                <w:sz w:val="18"/>
                <w:szCs w:val="18"/>
                <w:lang w:eastAsia="es-ES_tradnl"/>
              </w:rPr>
              <w:t>socios</w:t>
            </w:r>
            <w:proofErr w:type="spellEnd"/>
          </w:p>
        </w:tc>
        <w:tc>
          <w:tcPr>
            <w:tcW w:w="917" w:type="dxa"/>
            <w:tcBorders>
              <w:top w:val="none" w:sz="0" w:space="0" w:color="auto"/>
              <w:bottom w:val="none" w:sz="0" w:space="0" w:color="auto"/>
            </w:tcBorders>
          </w:tcPr>
          <w:p w14:paraId="4F9F0FFF"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SOCI</w:t>
            </w:r>
          </w:p>
        </w:tc>
        <w:tc>
          <w:tcPr>
            <w:tcW w:w="1221" w:type="dxa"/>
            <w:tcBorders>
              <w:top w:val="none" w:sz="0" w:space="0" w:color="auto"/>
              <w:bottom w:val="none" w:sz="0" w:space="0" w:color="auto"/>
              <w:right w:val="none" w:sz="0" w:space="0" w:color="auto"/>
            </w:tcBorders>
          </w:tcPr>
          <w:p w14:paraId="24358114"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w:t>
            </w:r>
          </w:p>
        </w:tc>
      </w:tr>
      <w:tr w:rsidR="00DD1501" w:rsidRPr="00DD1501" w14:paraId="3AF10C96" w14:textId="77777777" w:rsidTr="00DD1501">
        <w:trPr>
          <w:trHeight w:hRule="exact" w:val="513"/>
        </w:trPr>
        <w:tc>
          <w:tcPr>
            <w:cnfStyle w:val="001000000000" w:firstRow="0" w:lastRow="0" w:firstColumn="1" w:lastColumn="0" w:oddVBand="0" w:evenVBand="0" w:oddHBand="0" w:evenHBand="0" w:firstRowFirstColumn="0" w:firstRowLastColumn="0" w:lastRowFirstColumn="0" w:lastRowLastColumn="0"/>
            <w:tcW w:w="1517" w:type="dxa"/>
            <w:vMerge/>
            <w:tcBorders>
              <w:bottom w:val="single" w:sz="8" w:space="0" w:color="auto"/>
            </w:tcBorders>
          </w:tcPr>
          <w:p w14:paraId="77229D29" w14:textId="77777777" w:rsidR="00DD1501" w:rsidRPr="00DD1501" w:rsidRDefault="00DD1501" w:rsidP="00DD1501">
            <w:pPr>
              <w:spacing w:before="60"/>
              <w:jc w:val="center"/>
              <w:rPr>
                <w:rFonts w:ascii="Times New Roman" w:eastAsia="Times New Roman" w:hAnsi="Times New Roman" w:cs="Times New Roman"/>
                <w:b w:val="0"/>
                <w:i/>
                <w:color w:val="000000"/>
                <w:sz w:val="18"/>
                <w:szCs w:val="18"/>
                <w:lang w:eastAsia="es-ES_tradnl"/>
              </w:rPr>
            </w:pPr>
          </w:p>
        </w:tc>
        <w:tc>
          <w:tcPr>
            <w:tcW w:w="2132" w:type="dxa"/>
            <w:tcBorders>
              <w:bottom w:val="single" w:sz="8" w:space="0" w:color="auto"/>
            </w:tcBorders>
          </w:tcPr>
          <w:p w14:paraId="05F41680"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proofErr w:type="spellStart"/>
            <w:r w:rsidRPr="00DD1501">
              <w:rPr>
                <w:rFonts w:ascii="Times New Roman" w:eastAsia="Times New Roman" w:hAnsi="Times New Roman" w:cs="Times New Roman"/>
                <w:color w:val="000000"/>
                <w:sz w:val="18"/>
                <w:szCs w:val="18"/>
                <w:lang w:eastAsia="es-ES_tradnl"/>
              </w:rPr>
              <w:t>Volumen</w:t>
            </w:r>
            <w:proofErr w:type="spellEnd"/>
            <w:r w:rsidRPr="00DD1501">
              <w:rPr>
                <w:rFonts w:ascii="Times New Roman" w:eastAsia="Times New Roman" w:hAnsi="Times New Roman" w:cs="Times New Roman"/>
                <w:color w:val="000000"/>
                <w:sz w:val="18"/>
                <w:szCs w:val="18"/>
                <w:lang w:eastAsia="es-ES_tradnl"/>
              </w:rPr>
              <w:t xml:space="preserve"> de </w:t>
            </w:r>
            <w:proofErr w:type="spellStart"/>
            <w:r w:rsidRPr="00DD1501">
              <w:rPr>
                <w:rFonts w:ascii="Times New Roman" w:eastAsia="Times New Roman" w:hAnsi="Times New Roman" w:cs="Times New Roman"/>
                <w:color w:val="000000"/>
                <w:sz w:val="18"/>
                <w:szCs w:val="18"/>
                <w:lang w:eastAsia="es-ES_tradnl"/>
              </w:rPr>
              <w:t>negocio</w:t>
            </w:r>
            <w:proofErr w:type="spellEnd"/>
            <w:r w:rsidRPr="00DD1501">
              <w:rPr>
                <w:rFonts w:ascii="Times New Roman" w:eastAsia="Times New Roman" w:hAnsi="Times New Roman" w:cs="Times New Roman"/>
                <w:color w:val="000000"/>
                <w:sz w:val="18"/>
                <w:szCs w:val="18"/>
                <w:lang w:eastAsia="es-ES_tradnl"/>
              </w:rPr>
              <w:t xml:space="preserve"> </w:t>
            </w:r>
            <w:proofErr w:type="spellStart"/>
            <w:r w:rsidRPr="00DD1501">
              <w:rPr>
                <w:rFonts w:ascii="Times New Roman" w:eastAsia="Times New Roman" w:hAnsi="Times New Roman" w:cs="Times New Roman"/>
                <w:color w:val="000000"/>
                <w:sz w:val="18"/>
                <w:szCs w:val="18"/>
                <w:lang w:eastAsia="es-ES_tradnl"/>
              </w:rPr>
              <w:t>por</w:t>
            </w:r>
            <w:proofErr w:type="spellEnd"/>
            <w:r w:rsidRPr="00DD1501">
              <w:rPr>
                <w:rFonts w:ascii="Times New Roman" w:eastAsia="Times New Roman" w:hAnsi="Times New Roman" w:cs="Times New Roman"/>
                <w:color w:val="000000"/>
                <w:sz w:val="18"/>
                <w:szCs w:val="18"/>
                <w:lang w:eastAsia="es-ES_tradnl"/>
              </w:rPr>
              <w:t xml:space="preserve"> socio</w:t>
            </w:r>
          </w:p>
        </w:tc>
        <w:tc>
          <w:tcPr>
            <w:tcW w:w="3279" w:type="dxa"/>
            <w:tcBorders>
              <w:bottom w:val="single" w:sz="8" w:space="0" w:color="auto"/>
            </w:tcBorders>
            <w:noWrap/>
            <w:hideMark/>
          </w:tcPr>
          <w:p w14:paraId="000FCF7F"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es-ES_tradnl"/>
              </w:rPr>
            </w:pPr>
            <w:r w:rsidRPr="00DD1501">
              <w:rPr>
                <w:rFonts w:ascii="Times New Roman" w:eastAsia="Times New Roman" w:hAnsi="Times New Roman" w:cs="Times New Roman"/>
                <w:bCs/>
                <w:color w:val="000000"/>
                <w:sz w:val="18"/>
                <w:szCs w:val="18"/>
                <w:lang w:eastAsia="es-ES_tradnl"/>
              </w:rPr>
              <w:t>(</w:t>
            </w:r>
            <w:proofErr w:type="spellStart"/>
            <w:r w:rsidRPr="00DD1501">
              <w:rPr>
                <w:rFonts w:ascii="Times New Roman" w:eastAsia="Times New Roman" w:hAnsi="Times New Roman" w:cs="Times New Roman"/>
                <w:bCs/>
                <w:color w:val="000000"/>
                <w:sz w:val="18"/>
                <w:szCs w:val="18"/>
                <w:lang w:eastAsia="es-ES_tradnl"/>
              </w:rPr>
              <w:t>Ventas</w:t>
            </w:r>
            <w:proofErr w:type="spellEnd"/>
            <w:r w:rsidRPr="00DD1501">
              <w:rPr>
                <w:rFonts w:ascii="Times New Roman" w:eastAsia="Times New Roman" w:hAnsi="Times New Roman" w:cs="Times New Roman"/>
                <w:bCs/>
                <w:color w:val="000000"/>
                <w:sz w:val="18"/>
                <w:szCs w:val="18"/>
                <w:lang w:eastAsia="es-ES_tradnl"/>
              </w:rPr>
              <w:t xml:space="preserve"> </w:t>
            </w:r>
            <w:proofErr w:type="spellStart"/>
            <w:r w:rsidRPr="00DD1501">
              <w:rPr>
                <w:rFonts w:ascii="Times New Roman" w:eastAsia="Times New Roman" w:hAnsi="Times New Roman" w:cs="Times New Roman"/>
                <w:bCs/>
                <w:color w:val="000000"/>
                <w:sz w:val="18"/>
                <w:szCs w:val="18"/>
                <w:lang w:eastAsia="es-ES_tradnl"/>
              </w:rPr>
              <w:t>anuales</w:t>
            </w:r>
            <w:proofErr w:type="spellEnd"/>
            <w:r w:rsidRPr="00DD1501">
              <w:rPr>
                <w:rFonts w:ascii="Times New Roman" w:eastAsia="Times New Roman" w:hAnsi="Times New Roman" w:cs="Times New Roman"/>
                <w:bCs/>
                <w:color w:val="000000"/>
                <w:sz w:val="18"/>
                <w:szCs w:val="18"/>
                <w:lang w:eastAsia="es-ES_tradnl"/>
              </w:rPr>
              <w:t xml:space="preserve">/nº </w:t>
            </w:r>
            <w:proofErr w:type="spellStart"/>
            <w:r w:rsidRPr="00DD1501">
              <w:rPr>
                <w:rFonts w:ascii="Times New Roman" w:eastAsia="Times New Roman" w:hAnsi="Times New Roman" w:cs="Times New Roman"/>
                <w:bCs/>
                <w:color w:val="000000"/>
                <w:sz w:val="18"/>
                <w:szCs w:val="18"/>
                <w:lang w:eastAsia="es-ES_tradnl"/>
              </w:rPr>
              <w:t>socios</w:t>
            </w:r>
            <w:proofErr w:type="spellEnd"/>
            <w:r w:rsidRPr="00DD1501">
              <w:rPr>
                <w:rFonts w:ascii="Times New Roman" w:eastAsia="Times New Roman" w:hAnsi="Times New Roman" w:cs="Times New Roman"/>
                <w:bCs/>
                <w:color w:val="000000"/>
                <w:sz w:val="18"/>
                <w:szCs w:val="18"/>
                <w:lang w:eastAsia="es-ES_tradnl"/>
              </w:rPr>
              <w:t>)</w:t>
            </w:r>
          </w:p>
        </w:tc>
        <w:tc>
          <w:tcPr>
            <w:tcW w:w="917" w:type="dxa"/>
            <w:tcBorders>
              <w:bottom w:val="single" w:sz="8" w:space="0" w:color="auto"/>
            </w:tcBorders>
          </w:tcPr>
          <w:p w14:paraId="7997E7F1"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NEGS</w:t>
            </w:r>
          </w:p>
        </w:tc>
        <w:tc>
          <w:tcPr>
            <w:tcW w:w="1221" w:type="dxa"/>
            <w:tcBorders>
              <w:bottom w:val="single" w:sz="8" w:space="0" w:color="auto"/>
            </w:tcBorders>
          </w:tcPr>
          <w:p w14:paraId="53A9FA38"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w:t>
            </w:r>
          </w:p>
        </w:tc>
      </w:tr>
      <w:tr w:rsidR="00DD1501" w:rsidRPr="00DD1501" w14:paraId="2A7DCCCF" w14:textId="77777777" w:rsidTr="00DD1501">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517" w:type="dxa"/>
            <w:vMerge w:val="restart"/>
            <w:tcBorders>
              <w:top w:val="none" w:sz="0" w:space="0" w:color="auto"/>
              <w:left w:val="none" w:sz="0" w:space="0" w:color="auto"/>
              <w:bottom w:val="none" w:sz="0" w:space="0" w:color="auto"/>
            </w:tcBorders>
            <w:shd w:val="clear" w:color="auto" w:fill="auto"/>
          </w:tcPr>
          <w:p w14:paraId="4C7CB2F4" w14:textId="77777777" w:rsidR="00DD1501" w:rsidRPr="00DD1501" w:rsidRDefault="00DD1501" w:rsidP="00DD1501">
            <w:pPr>
              <w:spacing w:before="60"/>
              <w:jc w:val="center"/>
              <w:rPr>
                <w:rFonts w:ascii="Times New Roman" w:eastAsia="Times New Roman" w:hAnsi="Times New Roman" w:cs="Times New Roman"/>
                <w:b w:val="0"/>
                <w:bCs w:val="0"/>
                <w:i/>
                <w:color w:val="000000"/>
                <w:sz w:val="18"/>
                <w:szCs w:val="18"/>
                <w:lang w:eastAsia="es-ES_tradnl"/>
              </w:rPr>
            </w:pPr>
          </w:p>
          <w:p w14:paraId="66EA1A06" w14:textId="77777777" w:rsidR="00DD1501" w:rsidRPr="00DD1501" w:rsidRDefault="00DD1501" w:rsidP="00DD1501">
            <w:pPr>
              <w:spacing w:before="60"/>
              <w:jc w:val="center"/>
              <w:rPr>
                <w:rFonts w:ascii="Times New Roman" w:eastAsia="Times New Roman" w:hAnsi="Times New Roman" w:cs="Times New Roman"/>
                <w:b w:val="0"/>
                <w:bCs w:val="0"/>
                <w:i/>
                <w:color w:val="000000"/>
                <w:sz w:val="18"/>
                <w:szCs w:val="18"/>
                <w:lang w:eastAsia="es-ES_tradnl"/>
              </w:rPr>
            </w:pPr>
            <w:r w:rsidRPr="00DD1501">
              <w:rPr>
                <w:rFonts w:ascii="Times New Roman" w:eastAsia="Times New Roman" w:hAnsi="Times New Roman" w:cs="Times New Roman"/>
                <w:b w:val="0"/>
                <w:bCs w:val="0"/>
                <w:i/>
                <w:color w:val="000000"/>
                <w:sz w:val="18"/>
                <w:szCs w:val="18"/>
                <w:lang w:eastAsia="es-ES_tradnl"/>
              </w:rPr>
              <w:t>H6</w:t>
            </w:r>
          </w:p>
        </w:tc>
        <w:tc>
          <w:tcPr>
            <w:tcW w:w="2132" w:type="dxa"/>
            <w:tcBorders>
              <w:top w:val="none" w:sz="0" w:space="0" w:color="auto"/>
              <w:bottom w:val="none" w:sz="0" w:space="0" w:color="auto"/>
            </w:tcBorders>
            <w:shd w:val="clear" w:color="auto" w:fill="auto"/>
          </w:tcPr>
          <w:p w14:paraId="3DF53AC9"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es-ES_tradnl"/>
              </w:rPr>
            </w:pPr>
            <w:proofErr w:type="spellStart"/>
            <w:r w:rsidRPr="00DD1501">
              <w:rPr>
                <w:rFonts w:ascii="Times New Roman" w:eastAsia="Times New Roman" w:hAnsi="Times New Roman" w:cs="Times New Roman"/>
                <w:bCs/>
                <w:color w:val="000000"/>
                <w:sz w:val="18"/>
                <w:szCs w:val="18"/>
                <w:lang w:eastAsia="es-ES_tradnl"/>
              </w:rPr>
              <w:t>Rotación</w:t>
            </w:r>
            <w:proofErr w:type="spellEnd"/>
            <w:r w:rsidRPr="00DD1501">
              <w:rPr>
                <w:rFonts w:ascii="Times New Roman" w:eastAsia="Times New Roman" w:hAnsi="Times New Roman" w:cs="Times New Roman"/>
                <w:bCs/>
                <w:color w:val="000000"/>
                <w:sz w:val="18"/>
                <w:szCs w:val="18"/>
                <w:lang w:eastAsia="es-ES_tradnl"/>
              </w:rPr>
              <w:t xml:space="preserve"> del </w:t>
            </w:r>
            <w:proofErr w:type="spellStart"/>
            <w:r w:rsidRPr="00DD1501">
              <w:rPr>
                <w:rFonts w:ascii="Times New Roman" w:eastAsia="Times New Roman" w:hAnsi="Times New Roman" w:cs="Times New Roman"/>
                <w:bCs/>
                <w:color w:val="000000"/>
                <w:sz w:val="18"/>
                <w:szCs w:val="18"/>
                <w:lang w:eastAsia="es-ES_tradnl"/>
              </w:rPr>
              <w:t>activo</w:t>
            </w:r>
            <w:proofErr w:type="spellEnd"/>
            <w:r w:rsidRPr="00DD1501">
              <w:rPr>
                <w:rFonts w:ascii="Times New Roman" w:eastAsia="Times New Roman" w:hAnsi="Times New Roman" w:cs="Times New Roman"/>
                <w:bCs/>
                <w:color w:val="000000"/>
                <w:sz w:val="18"/>
                <w:szCs w:val="18"/>
                <w:lang w:eastAsia="es-ES_tradnl"/>
              </w:rPr>
              <w:t xml:space="preserve"> total</w:t>
            </w:r>
          </w:p>
        </w:tc>
        <w:tc>
          <w:tcPr>
            <w:tcW w:w="3279" w:type="dxa"/>
            <w:tcBorders>
              <w:top w:val="none" w:sz="0" w:space="0" w:color="auto"/>
              <w:bottom w:val="none" w:sz="0" w:space="0" w:color="auto"/>
            </w:tcBorders>
            <w:shd w:val="clear" w:color="auto" w:fill="auto"/>
          </w:tcPr>
          <w:p w14:paraId="03DD0C5C"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es-ES_tradnl"/>
              </w:rPr>
            </w:pPr>
            <w:r w:rsidRPr="00DD1501">
              <w:rPr>
                <w:rFonts w:ascii="Times New Roman" w:eastAsia="Times New Roman" w:hAnsi="Times New Roman" w:cs="Times New Roman"/>
                <w:bCs/>
                <w:color w:val="000000"/>
                <w:sz w:val="18"/>
                <w:szCs w:val="18"/>
                <w:lang w:eastAsia="es-ES_tradnl"/>
              </w:rPr>
              <w:t>(</w:t>
            </w:r>
            <w:proofErr w:type="spellStart"/>
            <w:r w:rsidRPr="00DD1501">
              <w:rPr>
                <w:rFonts w:ascii="Times New Roman" w:eastAsia="Times New Roman" w:hAnsi="Times New Roman" w:cs="Times New Roman"/>
                <w:bCs/>
                <w:color w:val="000000"/>
                <w:sz w:val="18"/>
                <w:szCs w:val="18"/>
                <w:lang w:eastAsia="es-ES_tradnl"/>
              </w:rPr>
              <w:t>Ventas</w:t>
            </w:r>
            <w:proofErr w:type="spellEnd"/>
            <w:r w:rsidRPr="00DD1501">
              <w:rPr>
                <w:rFonts w:ascii="Times New Roman" w:eastAsia="Times New Roman" w:hAnsi="Times New Roman" w:cs="Times New Roman"/>
                <w:bCs/>
                <w:color w:val="000000"/>
                <w:sz w:val="18"/>
                <w:szCs w:val="18"/>
                <w:lang w:eastAsia="es-ES_tradnl"/>
              </w:rPr>
              <w:t xml:space="preserve"> </w:t>
            </w:r>
            <w:proofErr w:type="spellStart"/>
            <w:r w:rsidRPr="00DD1501">
              <w:rPr>
                <w:rFonts w:ascii="Times New Roman" w:eastAsia="Times New Roman" w:hAnsi="Times New Roman" w:cs="Times New Roman"/>
                <w:bCs/>
                <w:color w:val="000000"/>
                <w:sz w:val="18"/>
                <w:szCs w:val="18"/>
                <w:lang w:eastAsia="es-ES_tradnl"/>
              </w:rPr>
              <w:t>anuales</w:t>
            </w:r>
            <w:proofErr w:type="spellEnd"/>
            <w:r w:rsidRPr="00DD1501">
              <w:rPr>
                <w:rFonts w:ascii="Times New Roman" w:eastAsia="Times New Roman" w:hAnsi="Times New Roman" w:cs="Times New Roman"/>
                <w:bCs/>
                <w:color w:val="000000"/>
                <w:sz w:val="18"/>
                <w:szCs w:val="18"/>
                <w:lang w:eastAsia="es-ES_tradnl"/>
              </w:rPr>
              <w:t>/AT)</w:t>
            </w:r>
          </w:p>
        </w:tc>
        <w:tc>
          <w:tcPr>
            <w:tcW w:w="917" w:type="dxa"/>
            <w:tcBorders>
              <w:top w:val="none" w:sz="0" w:space="0" w:color="auto"/>
              <w:bottom w:val="none" w:sz="0" w:space="0" w:color="auto"/>
            </w:tcBorders>
            <w:shd w:val="clear" w:color="auto" w:fill="auto"/>
          </w:tcPr>
          <w:p w14:paraId="522FE902"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ROTA</w:t>
            </w:r>
          </w:p>
          <w:p w14:paraId="130AC56D"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p>
          <w:p w14:paraId="1F4495F4"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p>
        </w:tc>
        <w:tc>
          <w:tcPr>
            <w:tcW w:w="1221" w:type="dxa"/>
            <w:tcBorders>
              <w:top w:val="none" w:sz="0" w:space="0" w:color="auto"/>
              <w:bottom w:val="none" w:sz="0" w:space="0" w:color="auto"/>
              <w:right w:val="none" w:sz="0" w:space="0" w:color="auto"/>
            </w:tcBorders>
            <w:shd w:val="clear" w:color="auto" w:fill="auto"/>
          </w:tcPr>
          <w:p w14:paraId="253983B0" w14:textId="77777777" w:rsidR="00DD1501" w:rsidRPr="00DD1501" w:rsidRDefault="00DD1501" w:rsidP="00DD1501">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w:t>
            </w:r>
          </w:p>
        </w:tc>
      </w:tr>
      <w:tr w:rsidR="00DD1501" w:rsidRPr="00DD1501" w14:paraId="1BD5537F" w14:textId="77777777" w:rsidTr="00DD1501">
        <w:trPr>
          <w:trHeight w:hRule="exact" w:val="567"/>
        </w:trPr>
        <w:tc>
          <w:tcPr>
            <w:cnfStyle w:val="001000000000" w:firstRow="0" w:lastRow="0" w:firstColumn="1" w:lastColumn="0" w:oddVBand="0" w:evenVBand="0" w:oddHBand="0" w:evenHBand="0" w:firstRowFirstColumn="0" w:firstRowLastColumn="0" w:lastRowFirstColumn="0" w:lastRowLastColumn="0"/>
            <w:tcW w:w="1517" w:type="dxa"/>
            <w:vMerge/>
            <w:shd w:val="clear" w:color="auto" w:fill="auto"/>
          </w:tcPr>
          <w:p w14:paraId="3726DAD2" w14:textId="77777777" w:rsidR="00DD1501" w:rsidRPr="00DD1501" w:rsidRDefault="00DD1501" w:rsidP="00DD1501">
            <w:pPr>
              <w:spacing w:before="60"/>
              <w:jc w:val="center"/>
              <w:rPr>
                <w:rFonts w:ascii="Times New Roman" w:eastAsia="Times New Roman" w:hAnsi="Times New Roman" w:cs="Times New Roman"/>
                <w:bCs w:val="0"/>
                <w:color w:val="000000"/>
                <w:sz w:val="18"/>
                <w:szCs w:val="18"/>
                <w:lang w:eastAsia="es-ES_tradnl"/>
              </w:rPr>
            </w:pPr>
          </w:p>
        </w:tc>
        <w:tc>
          <w:tcPr>
            <w:tcW w:w="2132" w:type="dxa"/>
            <w:shd w:val="clear" w:color="auto" w:fill="auto"/>
          </w:tcPr>
          <w:p w14:paraId="68A577EA"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es-ES_tradnl"/>
              </w:rPr>
            </w:pPr>
            <w:proofErr w:type="spellStart"/>
            <w:r w:rsidRPr="00DD1501">
              <w:rPr>
                <w:rFonts w:ascii="Times New Roman" w:eastAsia="Times New Roman" w:hAnsi="Times New Roman" w:cs="Times New Roman"/>
                <w:bCs/>
                <w:color w:val="000000"/>
                <w:sz w:val="18"/>
                <w:szCs w:val="18"/>
                <w:lang w:eastAsia="es-ES_tradnl"/>
              </w:rPr>
              <w:t>Liquidación</w:t>
            </w:r>
            <w:proofErr w:type="spellEnd"/>
            <w:r w:rsidRPr="00DD1501">
              <w:rPr>
                <w:rFonts w:ascii="Times New Roman" w:eastAsia="Times New Roman" w:hAnsi="Times New Roman" w:cs="Times New Roman"/>
                <w:bCs/>
                <w:color w:val="000000"/>
                <w:sz w:val="18"/>
                <w:szCs w:val="18"/>
                <w:lang w:eastAsia="es-ES_tradnl"/>
              </w:rPr>
              <w:t xml:space="preserve"> </w:t>
            </w:r>
            <w:proofErr w:type="spellStart"/>
            <w:r w:rsidRPr="00DD1501">
              <w:rPr>
                <w:rFonts w:ascii="Times New Roman" w:eastAsia="Times New Roman" w:hAnsi="Times New Roman" w:cs="Times New Roman"/>
                <w:bCs/>
                <w:color w:val="000000"/>
                <w:sz w:val="18"/>
                <w:szCs w:val="18"/>
                <w:lang w:eastAsia="es-ES_tradnl"/>
              </w:rPr>
              <w:t>por</w:t>
            </w:r>
            <w:proofErr w:type="spellEnd"/>
            <w:r w:rsidRPr="00DD1501">
              <w:rPr>
                <w:rFonts w:ascii="Times New Roman" w:eastAsia="Times New Roman" w:hAnsi="Times New Roman" w:cs="Times New Roman"/>
                <w:bCs/>
                <w:color w:val="000000"/>
                <w:sz w:val="18"/>
                <w:szCs w:val="18"/>
                <w:lang w:eastAsia="es-ES_tradnl"/>
              </w:rPr>
              <w:t xml:space="preserve"> socio</w:t>
            </w:r>
          </w:p>
        </w:tc>
        <w:tc>
          <w:tcPr>
            <w:tcW w:w="3279" w:type="dxa"/>
            <w:shd w:val="clear" w:color="auto" w:fill="auto"/>
          </w:tcPr>
          <w:p w14:paraId="2EF62CBE"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es-ES_tradnl"/>
              </w:rPr>
            </w:pPr>
            <w:r w:rsidRPr="00DD1501">
              <w:rPr>
                <w:rFonts w:ascii="Times New Roman" w:eastAsia="Times New Roman" w:hAnsi="Times New Roman" w:cs="Times New Roman"/>
                <w:bCs/>
                <w:color w:val="000000"/>
                <w:sz w:val="18"/>
                <w:szCs w:val="18"/>
                <w:lang w:eastAsia="es-ES_tradnl"/>
              </w:rPr>
              <w:t>(</w:t>
            </w:r>
            <w:proofErr w:type="spellStart"/>
            <w:r w:rsidRPr="00DD1501">
              <w:rPr>
                <w:rFonts w:ascii="Times New Roman" w:eastAsia="Times New Roman" w:hAnsi="Times New Roman" w:cs="Times New Roman"/>
                <w:bCs/>
                <w:color w:val="000000"/>
                <w:sz w:val="18"/>
                <w:szCs w:val="18"/>
                <w:lang w:eastAsia="es-ES_tradnl"/>
              </w:rPr>
              <w:t>Adquisiciones</w:t>
            </w:r>
            <w:proofErr w:type="spellEnd"/>
            <w:r w:rsidRPr="00DD1501">
              <w:rPr>
                <w:rFonts w:ascii="Times New Roman" w:eastAsia="Times New Roman" w:hAnsi="Times New Roman" w:cs="Times New Roman"/>
                <w:bCs/>
                <w:color w:val="000000"/>
                <w:sz w:val="18"/>
                <w:szCs w:val="18"/>
                <w:lang w:eastAsia="es-ES_tradnl"/>
              </w:rPr>
              <w:t xml:space="preserve"> a </w:t>
            </w:r>
            <w:proofErr w:type="spellStart"/>
            <w:r w:rsidRPr="00DD1501">
              <w:rPr>
                <w:rFonts w:ascii="Times New Roman" w:eastAsia="Times New Roman" w:hAnsi="Times New Roman" w:cs="Times New Roman"/>
                <w:bCs/>
                <w:color w:val="000000"/>
                <w:sz w:val="18"/>
                <w:szCs w:val="18"/>
                <w:lang w:eastAsia="es-ES_tradnl"/>
              </w:rPr>
              <w:t>socios</w:t>
            </w:r>
            <w:proofErr w:type="spellEnd"/>
            <w:r w:rsidRPr="00DD1501">
              <w:rPr>
                <w:rFonts w:ascii="Times New Roman" w:eastAsia="Times New Roman" w:hAnsi="Times New Roman" w:cs="Times New Roman"/>
                <w:bCs/>
                <w:color w:val="000000"/>
                <w:sz w:val="18"/>
                <w:szCs w:val="18"/>
                <w:lang w:eastAsia="es-ES_tradnl"/>
              </w:rPr>
              <w:t xml:space="preserve">/nº </w:t>
            </w:r>
            <w:proofErr w:type="spellStart"/>
            <w:r w:rsidRPr="00DD1501">
              <w:rPr>
                <w:rFonts w:ascii="Times New Roman" w:eastAsia="Times New Roman" w:hAnsi="Times New Roman" w:cs="Times New Roman"/>
                <w:bCs/>
                <w:color w:val="000000"/>
                <w:sz w:val="18"/>
                <w:szCs w:val="18"/>
                <w:lang w:eastAsia="es-ES_tradnl"/>
              </w:rPr>
              <w:t>socios</w:t>
            </w:r>
            <w:proofErr w:type="spellEnd"/>
            <w:r w:rsidRPr="00DD1501">
              <w:rPr>
                <w:rFonts w:ascii="Times New Roman" w:eastAsia="Times New Roman" w:hAnsi="Times New Roman" w:cs="Times New Roman"/>
                <w:bCs/>
                <w:color w:val="000000"/>
                <w:sz w:val="18"/>
                <w:szCs w:val="18"/>
                <w:lang w:eastAsia="es-ES_tradnl"/>
              </w:rPr>
              <w:t>)</w:t>
            </w:r>
          </w:p>
        </w:tc>
        <w:tc>
          <w:tcPr>
            <w:tcW w:w="917" w:type="dxa"/>
            <w:shd w:val="clear" w:color="auto" w:fill="auto"/>
          </w:tcPr>
          <w:p w14:paraId="351F3B9B"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ADQS</w:t>
            </w:r>
          </w:p>
        </w:tc>
        <w:tc>
          <w:tcPr>
            <w:tcW w:w="1221" w:type="dxa"/>
            <w:shd w:val="clear" w:color="auto" w:fill="auto"/>
          </w:tcPr>
          <w:p w14:paraId="0A3E8733" w14:textId="77777777" w:rsidR="00DD1501" w:rsidRPr="00DD1501" w:rsidRDefault="00DD1501" w:rsidP="00DD1501">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ES_tradnl"/>
              </w:rPr>
            </w:pPr>
            <w:r w:rsidRPr="00DD1501">
              <w:rPr>
                <w:rFonts w:ascii="Times New Roman" w:eastAsia="Times New Roman" w:hAnsi="Times New Roman" w:cs="Times New Roman"/>
                <w:color w:val="000000"/>
                <w:sz w:val="18"/>
                <w:szCs w:val="18"/>
                <w:lang w:eastAsia="es-ES_tradnl"/>
              </w:rPr>
              <w:t>(?)</w:t>
            </w:r>
          </w:p>
        </w:tc>
      </w:tr>
    </w:tbl>
    <w:p w14:paraId="579E1F2B" w14:textId="77777777" w:rsidR="00DD1501" w:rsidRPr="00DD1501" w:rsidRDefault="00DD1501" w:rsidP="00DD1501">
      <w:pPr>
        <w:spacing w:before="120" w:line="240" w:lineRule="auto"/>
        <w:ind w:left="284"/>
        <w:rPr>
          <w:color w:val="000000"/>
          <w:sz w:val="18"/>
          <w:szCs w:val="18"/>
          <w:lang w:eastAsia="es-ES_tradnl"/>
        </w:rPr>
      </w:pPr>
      <w:r w:rsidRPr="00DD1501">
        <w:rPr>
          <w:color w:val="000000"/>
          <w:sz w:val="18"/>
          <w:szCs w:val="18"/>
          <w:vertAlign w:val="superscript"/>
          <w:lang w:eastAsia="es-ES_tradnl"/>
        </w:rPr>
        <w:t>*</w:t>
      </w:r>
      <w:r w:rsidRPr="00DD1501">
        <w:rPr>
          <w:color w:val="000000"/>
          <w:sz w:val="18"/>
          <w:szCs w:val="18"/>
          <w:lang w:eastAsia="es-ES_tradnl"/>
        </w:rPr>
        <w:t xml:space="preserve"> AT: </w:t>
      </w:r>
      <w:proofErr w:type="spellStart"/>
      <w:r w:rsidRPr="00DD1501">
        <w:rPr>
          <w:color w:val="000000"/>
          <w:sz w:val="18"/>
          <w:szCs w:val="18"/>
          <w:lang w:eastAsia="es-ES_tradnl"/>
        </w:rPr>
        <w:t>activo</w:t>
      </w:r>
      <w:proofErr w:type="spellEnd"/>
      <w:r w:rsidRPr="00DD1501">
        <w:rPr>
          <w:color w:val="000000"/>
          <w:sz w:val="18"/>
          <w:szCs w:val="18"/>
          <w:lang w:eastAsia="es-ES_tradnl"/>
        </w:rPr>
        <w:t xml:space="preserve"> total; ANC: </w:t>
      </w:r>
      <w:proofErr w:type="spellStart"/>
      <w:r w:rsidRPr="00DD1501">
        <w:rPr>
          <w:color w:val="000000"/>
          <w:sz w:val="18"/>
          <w:szCs w:val="18"/>
          <w:lang w:eastAsia="es-ES_tradnl"/>
        </w:rPr>
        <w:t>activo</w:t>
      </w:r>
      <w:proofErr w:type="spellEnd"/>
      <w:r w:rsidRPr="00DD1501">
        <w:rPr>
          <w:color w:val="000000"/>
          <w:sz w:val="18"/>
          <w:szCs w:val="18"/>
          <w:lang w:eastAsia="es-ES_tradnl"/>
        </w:rPr>
        <w:t xml:space="preserve"> no </w:t>
      </w:r>
      <w:proofErr w:type="spellStart"/>
      <w:r w:rsidRPr="00DD1501">
        <w:rPr>
          <w:color w:val="000000"/>
          <w:sz w:val="18"/>
          <w:szCs w:val="18"/>
          <w:lang w:eastAsia="es-ES_tradnl"/>
        </w:rPr>
        <w:t>corriente</w:t>
      </w:r>
      <w:proofErr w:type="spellEnd"/>
      <w:r w:rsidRPr="00DD1501">
        <w:rPr>
          <w:color w:val="000000"/>
          <w:sz w:val="18"/>
          <w:szCs w:val="18"/>
          <w:lang w:eastAsia="es-ES_tradnl"/>
        </w:rPr>
        <w:t xml:space="preserve">; AC: </w:t>
      </w:r>
      <w:proofErr w:type="spellStart"/>
      <w:r w:rsidRPr="00DD1501">
        <w:rPr>
          <w:color w:val="000000"/>
          <w:sz w:val="18"/>
          <w:szCs w:val="18"/>
          <w:lang w:eastAsia="es-ES_tradnl"/>
        </w:rPr>
        <w:t>activo</w:t>
      </w:r>
      <w:proofErr w:type="spellEnd"/>
      <w:r w:rsidRPr="00DD1501">
        <w:rPr>
          <w:color w:val="000000"/>
          <w:sz w:val="18"/>
          <w:szCs w:val="18"/>
          <w:lang w:eastAsia="es-ES_tradnl"/>
        </w:rPr>
        <w:t xml:space="preserve"> </w:t>
      </w:r>
      <w:proofErr w:type="spellStart"/>
      <w:r w:rsidRPr="00DD1501">
        <w:rPr>
          <w:color w:val="000000"/>
          <w:sz w:val="18"/>
          <w:szCs w:val="18"/>
          <w:lang w:eastAsia="es-ES_tradnl"/>
        </w:rPr>
        <w:t>corriente</w:t>
      </w:r>
      <w:proofErr w:type="spellEnd"/>
      <w:r w:rsidRPr="00DD1501">
        <w:rPr>
          <w:color w:val="000000"/>
          <w:sz w:val="18"/>
          <w:szCs w:val="18"/>
          <w:lang w:eastAsia="es-ES_tradnl"/>
        </w:rPr>
        <w:t xml:space="preserve">; PC: </w:t>
      </w:r>
      <w:proofErr w:type="spellStart"/>
      <w:r w:rsidRPr="00DD1501">
        <w:rPr>
          <w:color w:val="000000"/>
          <w:sz w:val="18"/>
          <w:szCs w:val="18"/>
          <w:lang w:eastAsia="es-ES_tradnl"/>
        </w:rPr>
        <w:t>pasivo</w:t>
      </w:r>
      <w:proofErr w:type="spellEnd"/>
      <w:r w:rsidRPr="00DD1501">
        <w:rPr>
          <w:color w:val="000000"/>
          <w:sz w:val="18"/>
          <w:szCs w:val="18"/>
          <w:lang w:eastAsia="es-ES_tradnl"/>
        </w:rPr>
        <w:t xml:space="preserve"> </w:t>
      </w:r>
      <w:proofErr w:type="spellStart"/>
      <w:r w:rsidRPr="00DD1501">
        <w:rPr>
          <w:color w:val="000000"/>
          <w:sz w:val="18"/>
          <w:szCs w:val="18"/>
          <w:lang w:eastAsia="es-ES_tradnl"/>
        </w:rPr>
        <w:t>corriente</w:t>
      </w:r>
      <w:proofErr w:type="spellEnd"/>
      <w:r w:rsidRPr="00DD1501">
        <w:rPr>
          <w:color w:val="000000"/>
          <w:sz w:val="18"/>
          <w:szCs w:val="18"/>
          <w:lang w:eastAsia="es-ES_tradnl"/>
        </w:rPr>
        <w:t>.</w:t>
      </w:r>
    </w:p>
    <w:p w14:paraId="681E8D42" w14:textId="77777777" w:rsidR="00DD1501" w:rsidRPr="00DD1501" w:rsidRDefault="00DD1501" w:rsidP="00DD1501">
      <w:pPr>
        <w:spacing w:before="60" w:line="240" w:lineRule="auto"/>
        <w:ind w:left="284"/>
        <w:rPr>
          <w:color w:val="000000"/>
          <w:sz w:val="18"/>
          <w:szCs w:val="18"/>
          <w:lang w:eastAsia="es-ES_tradnl"/>
        </w:rPr>
      </w:pPr>
      <w:r w:rsidRPr="00DD1501">
        <w:rPr>
          <w:color w:val="000000"/>
          <w:sz w:val="18"/>
          <w:szCs w:val="18"/>
          <w:vertAlign w:val="superscript"/>
          <w:lang w:eastAsia="es-ES_tradnl"/>
        </w:rPr>
        <w:t xml:space="preserve">** </w:t>
      </w:r>
      <w:proofErr w:type="spellStart"/>
      <w:r w:rsidRPr="00DD1501">
        <w:rPr>
          <w:color w:val="000000"/>
          <w:sz w:val="18"/>
          <w:szCs w:val="18"/>
          <w:lang w:eastAsia="es-ES_tradnl"/>
        </w:rPr>
        <w:t>Signo</w:t>
      </w:r>
      <w:proofErr w:type="spellEnd"/>
      <w:r w:rsidRPr="00DD1501">
        <w:rPr>
          <w:color w:val="000000"/>
          <w:sz w:val="18"/>
          <w:szCs w:val="18"/>
          <w:lang w:eastAsia="es-ES_tradnl"/>
        </w:rPr>
        <w:t xml:space="preserve"> </w:t>
      </w:r>
      <w:proofErr w:type="spellStart"/>
      <w:r w:rsidRPr="00DD1501">
        <w:rPr>
          <w:color w:val="000000"/>
          <w:sz w:val="18"/>
          <w:szCs w:val="18"/>
          <w:lang w:eastAsia="es-ES_tradnl"/>
        </w:rPr>
        <w:t>esperado</w:t>
      </w:r>
      <w:proofErr w:type="spellEnd"/>
      <w:r w:rsidRPr="00DD1501">
        <w:rPr>
          <w:color w:val="000000"/>
          <w:sz w:val="18"/>
          <w:szCs w:val="18"/>
          <w:lang w:eastAsia="es-ES_tradnl"/>
        </w:rPr>
        <w:t xml:space="preserve">: (+) </w:t>
      </w:r>
      <w:proofErr w:type="spellStart"/>
      <w:r w:rsidRPr="00DD1501">
        <w:rPr>
          <w:color w:val="000000"/>
          <w:sz w:val="18"/>
          <w:szCs w:val="18"/>
          <w:lang w:eastAsia="es-ES_tradnl"/>
        </w:rPr>
        <w:t>relación</w:t>
      </w:r>
      <w:proofErr w:type="spellEnd"/>
      <w:r w:rsidRPr="00DD1501">
        <w:rPr>
          <w:color w:val="000000"/>
          <w:sz w:val="18"/>
          <w:szCs w:val="18"/>
          <w:lang w:eastAsia="es-ES_tradnl"/>
        </w:rPr>
        <w:t xml:space="preserve"> </w:t>
      </w:r>
      <w:proofErr w:type="spellStart"/>
      <w:r w:rsidRPr="00DD1501">
        <w:rPr>
          <w:color w:val="000000"/>
          <w:sz w:val="18"/>
          <w:szCs w:val="18"/>
          <w:lang w:eastAsia="es-ES_tradnl"/>
        </w:rPr>
        <w:t>positiva</w:t>
      </w:r>
      <w:proofErr w:type="spellEnd"/>
      <w:r w:rsidRPr="00DD1501">
        <w:rPr>
          <w:color w:val="000000"/>
          <w:sz w:val="18"/>
          <w:szCs w:val="18"/>
          <w:lang w:eastAsia="es-ES_tradnl"/>
        </w:rPr>
        <w:t xml:space="preserve">; (-) </w:t>
      </w:r>
      <w:proofErr w:type="spellStart"/>
      <w:r w:rsidRPr="00DD1501">
        <w:rPr>
          <w:color w:val="000000"/>
          <w:sz w:val="18"/>
          <w:szCs w:val="18"/>
          <w:lang w:eastAsia="es-ES_tradnl"/>
        </w:rPr>
        <w:t>relación</w:t>
      </w:r>
      <w:proofErr w:type="spellEnd"/>
      <w:r w:rsidRPr="00DD1501">
        <w:rPr>
          <w:color w:val="000000"/>
          <w:sz w:val="18"/>
          <w:szCs w:val="18"/>
          <w:lang w:eastAsia="es-ES_tradnl"/>
        </w:rPr>
        <w:t xml:space="preserve"> </w:t>
      </w:r>
      <w:proofErr w:type="spellStart"/>
      <w:r w:rsidRPr="00DD1501">
        <w:rPr>
          <w:color w:val="000000"/>
          <w:sz w:val="18"/>
          <w:szCs w:val="18"/>
          <w:lang w:eastAsia="es-ES_tradnl"/>
        </w:rPr>
        <w:t>negativa</w:t>
      </w:r>
      <w:proofErr w:type="spellEnd"/>
      <w:r w:rsidRPr="00DD1501">
        <w:rPr>
          <w:color w:val="000000"/>
          <w:sz w:val="18"/>
          <w:szCs w:val="18"/>
          <w:lang w:eastAsia="es-ES_tradnl"/>
        </w:rPr>
        <w:t xml:space="preserve">; (?) </w:t>
      </w:r>
      <w:proofErr w:type="spellStart"/>
      <w:r w:rsidRPr="00DD1501">
        <w:rPr>
          <w:color w:val="000000"/>
          <w:sz w:val="18"/>
          <w:szCs w:val="18"/>
          <w:lang w:eastAsia="es-ES_tradnl"/>
        </w:rPr>
        <w:t>relación</w:t>
      </w:r>
      <w:proofErr w:type="spellEnd"/>
      <w:r w:rsidRPr="00DD1501">
        <w:rPr>
          <w:color w:val="000000"/>
          <w:sz w:val="18"/>
          <w:szCs w:val="18"/>
          <w:lang w:eastAsia="es-ES_tradnl"/>
        </w:rPr>
        <w:t xml:space="preserve"> </w:t>
      </w:r>
      <w:proofErr w:type="spellStart"/>
      <w:r w:rsidRPr="00DD1501">
        <w:rPr>
          <w:color w:val="000000"/>
          <w:sz w:val="18"/>
          <w:szCs w:val="18"/>
          <w:lang w:eastAsia="es-ES_tradnl"/>
        </w:rPr>
        <w:t>ambigua</w:t>
      </w:r>
      <w:proofErr w:type="spellEnd"/>
      <w:r w:rsidRPr="00DD1501">
        <w:rPr>
          <w:color w:val="000000"/>
          <w:sz w:val="18"/>
          <w:szCs w:val="18"/>
          <w:lang w:eastAsia="es-ES_tradnl"/>
        </w:rPr>
        <w:t>.</w:t>
      </w:r>
    </w:p>
    <w:p w14:paraId="771E189B" w14:textId="77777777" w:rsidR="00DD1501" w:rsidRPr="00DD1501" w:rsidRDefault="00DD1501" w:rsidP="00DD1501">
      <w:pPr>
        <w:spacing w:before="60" w:line="240" w:lineRule="auto"/>
        <w:ind w:left="284"/>
        <w:rPr>
          <w:b/>
          <w:i/>
          <w:sz w:val="22"/>
          <w:szCs w:val="22"/>
        </w:rPr>
      </w:pPr>
      <w:r w:rsidRPr="00DD1501">
        <w:rPr>
          <w:i/>
          <w:color w:val="000000"/>
          <w:sz w:val="18"/>
          <w:szCs w:val="18"/>
          <w:lang w:eastAsia="es-ES_tradnl"/>
        </w:rPr>
        <w:t xml:space="preserve">FUENTE: </w:t>
      </w:r>
      <w:proofErr w:type="spellStart"/>
      <w:r w:rsidRPr="00DD1501">
        <w:rPr>
          <w:i/>
          <w:color w:val="000000"/>
          <w:sz w:val="18"/>
          <w:szCs w:val="18"/>
          <w:lang w:eastAsia="es-ES_tradnl"/>
        </w:rPr>
        <w:t>Elaboración</w:t>
      </w:r>
      <w:proofErr w:type="spellEnd"/>
      <w:r w:rsidRPr="00DD1501">
        <w:rPr>
          <w:i/>
          <w:color w:val="000000"/>
          <w:sz w:val="18"/>
          <w:szCs w:val="18"/>
          <w:lang w:eastAsia="es-ES_tradnl"/>
        </w:rPr>
        <w:t xml:space="preserve"> </w:t>
      </w:r>
      <w:proofErr w:type="spellStart"/>
      <w:r w:rsidRPr="00DD1501">
        <w:rPr>
          <w:i/>
          <w:color w:val="000000"/>
          <w:sz w:val="18"/>
          <w:szCs w:val="18"/>
          <w:lang w:eastAsia="es-ES_tradnl"/>
        </w:rPr>
        <w:t>propia</w:t>
      </w:r>
      <w:proofErr w:type="spellEnd"/>
      <w:r w:rsidRPr="00DD1501">
        <w:rPr>
          <w:i/>
          <w:color w:val="000000"/>
          <w:sz w:val="18"/>
          <w:szCs w:val="18"/>
          <w:lang w:eastAsia="es-ES_tradnl"/>
        </w:rPr>
        <w:t>.</w:t>
      </w:r>
    </w:p>
    <w:p w14:paraId="19DADF56" w14:textId="77777777" w:rsidR="004E06D8" w:rsidRPr="00A7635D" w:rsidRDefault="004E06D8" w:rsidP="00A7635D">
      <w:pPr>
        <w:rPr>
          <w:lang w:val="es-ES"/>
        </w:rPr>
      </w:pPr>
    </w:p>
    <w:p w14:paraId="61F0E9CE" w14:textId="77777777" w:rsidR="00DD1501" w:rsidRDefault="00DD1501" w:rsidP="00A7635D">
      <w:pPr>
        <w:rPr>
          <w:lang w:val="es-ES"/>
        </w:rPr>
      </w:pPr>
    </w:p>
    <w:p w14:paraId="58A2E745" w14:textId="77777777" w:rsidR="00DD1501" w:rsidRDefault="00DD1501" w:rsidP="00A7635D">
      <w:pPr>
        <w:rPr>
          <w:lang w:val="es-ES"/>
        </w:rPr>
      </w:pPr>
    </w:p>
    <w:p w14:paraId="645ABBA2" w14:textId="2489ECD8" w:rsidR="00DD1501" w:rsidRPr="004E06D8" w:rsidRDefault="00DD1501" w:rsidP="00DD1501">
      <w:pPr>
        <w:pStyle w:val="Ttulo2"/>
        <w:numPr>
          <w:ilvl w:val="0"/>
          <w:numId w:val="13"/>
        </w:numPr>
        <w:ind w:left="284" w:hanging="284"/>
        <w:rPr>
          <w:lang w:val="es-ES"/>
        </w:rPr>
      </w:pPr>
      <w:r>
        <w:rPr>
          <w:lang w:val="es-ES"/>
        </w:rPr>
        <w:lastRenderedPageBreak/>
        <w:t>Resultados</w:t>
      </w:r>
    </w:p>
    <w:p w14:paraId="46559CB3" w14:textId="77777777" w:rsidR="00DD1501" w:rsidRPr="00DD1501" w:rsidRDefault="00DD1501" w:rsidP="00DD1501">
      <w:pPr>
        <w:rPr>
          <w:lang w:val="es-ES"/>
        </w:rPr>
      </w:pPr>
      <w:r w:rsidRPr="00DD1501">
        <w:rPr>
          <w:lang w:val="es-ES"/>
        </w:rPr>
        <w:t>Los modelos de regresión propuestos obedecen a las expresiones:</w:t>
      </w:r>
    </w:p>
    <w:p w14:paraId="5D696215" w14:textId="05B9B801" w:rsidR="00DD1501" w:rsidRPr="008B347A" w:rsidRDefault="00DD1501" w:rsidP="00DD1501">
      <w:pPr>
        <w:spacing w:before="120" w:after="240"/>
        <w:ind w:left="851" w:right="420" w:hanging="851"/>
        <w:rPr>
          <w:lang w:val="es-ES"/>
        </w:rPr>
      </w:pPr>
      <w:r w:rsidRPr="008B347A">
        <w:rPr>
          <w:lang w:val="es-ES"/>
        </w:rPr>
        <w:t xml:space="preserve">END.T. = </w:t>
      </w:r>
      <w:r w:rsidRPr="008B347A">
        <w:rPr>
          <w:i/>
          <w:lang w:val="es-ES"/>
        </w:rPr>
        <w:t>b</w:t>
      </w:r>
      <w:r w:rsidRPr="008B347A">
        <w:rPr>
          <w:i/>
          <w:vertAlign w:val="subscript"/>
          <w:lang w:val="es-ES"/>
        </w:rPr>
        <w:t>0</w:t>
      </w:r>
      <w:r w:rsidRPr="008B347A">
        <w:rPr>
          <w:i/>
          <w:lang w:val="es-ES"/>
        </w:rPr>
        <w:t xml:space="preserve"> </w:t>
      </w:r>
      <w:r w:rsidRPr="008B347A">
        <w:rPr>
          <w:lang w:val="es-ES"/>
        </w:rPr>
        <w:t xml:space="preserve">+ </w:t>
      </w:r>
      <w:r w:rsidRPr="008B347A">
        <w:rPr>
          <w:i/>
          <w:lang w:val="es-ES"/>
        </w:rPr>
        <w:t>b</w:t>
      </w:r>
      <w:r w:rsidRPr="008B347A">
        <w:rPr>
          <w:i/>
          <w:vertAlign w:val="subscript"/>
          <w:lang w:val="es-ES"/>
        </w:rPr>
        <w:t>1</w:t>
      </w:r>
      <w:r w:rsidRPr="008B347A">
        <w:rPr>
          <w:lang w:val="es-ES"/>
        </w:rPr>
        <w:t xml:space="preserve"> AMRT + </w:t>
      </w:r>
      <w:r w:rsidRPr="008B347A">
        <w:rPr>
          <w:i/>
          <w:lang w:val="es-ES"/>
        </w:rPr>
        <w:t>b</w:t>
      </w:r>
      <w:r w:rsidRPr="008B347A">
        <w:rPr>
          <w:i/>
          <w:vertAlign w:val="subscript"/>
          <w:lang w:val="es-ES"/>
        </w:rPr>
        <w:t>2</w:t>
      </w:r>
      <w:r w:rsidRPr="008B347A">
        <w:rPr>
          <w:lang w:val="es-ES"/>
        </w:rPr>
        <w:t xml:space="preserve"> AUTO + </w:t>
      </w:r>
      <w:r w:rsidRPr="008B347A">
        <w:rPr>
          <w:i/>
          <w:lang w:val="es-ES"/>
        </w:rPr>
        <w:t>b</w:t>
      </w:r>
      <w:r w:rsidRPr="008B347A">
        <w:rPr>
          <w:i/>
          <w:vertAlign w:val="subscript"/>
          <w:lang w:val="es-ES"/>
        </w:rPr>
        <w:t>3</w:t>
      </w:r>
      <w:r w:rsidRPr="008B347A">
        <w:rPr>
          <w:lang w:val="es-ES"/>
        </w:rPr>
        <w:t xml:space="preserve"> COMA + </w:t>
      </w:r>
      <w:r w:rsidRPr="008B347A">
        <w:rPr>
          <w:i/>
          <w:lang w:val="es-ES"/>
        </w:rPr>
        <w:t>b</w:t>
      </w:r>
      <w:r w:rsidRPr="008B347A">
        <w:rPr>
          <w:i/>
          <w:vertAlign w:val="subscript"/>
          <w:lang w:val="es-ES"/>
        </w:rPr>
        <w:t>4</w:t>
      </w:r>
      <w:r w:rsidRPr="008B347A">
        <w:rPr>
          <w:vertAlign w:val="subscript"/>
          <w:lang w:val="es-ES"/>
        </w:rPr>
        <w:t xml:space="preserve"> </w:t>
      </w:r>
      <w:r w:rsidRPr="008B347A">
        <w:rPr>
          <w:lang w:val="es-ES"/>
        </w:rPr>
        <w:t xml:space="preserve">LIQ1 + </w:t>
      </w:r>
      <w:r w:rsidRPr="008B347A">
        <w:rPr>
          <w:i/>
          <w:lang w:val="es-ES"/>
        </w:rPr>
        <w:t>b</w:t>
      </w:r>
      <w:r w:rsidRPr="008B347A">
        <w:rPr>
          <w:i/>
          <w:vertAlign w:val="subscript"/>
          <w:lang w:val="es-ES"/>
        </w:rPr>
        <w:t>5</w:t>
      </w:r>
      <w:r w:rsidRPr="008B347A">
        <w:rPr>
          <w:vertAlign w:val="subscript"/>
          <w:lang w:val="es-ES"/>
        </w:rPr>
        <w:t xml:space="preserve"> </w:t>
      </w:r>
      <w:r w:rsidRPr="008B347A">
        <w:rPr>
          <w:lang w:val="es-ES"/>
        </w:rPr>
        <w:t xml:space="preserve">LIQ2 + </w:t>
      </w:r>
      <w:r w:rsidRPr="008B347A">
        <w:rPr>
          <w:i/>
          <w:lang w:val="es-ES"/>
        </w:rPr>
        <w:t>b</w:t>
      </w:r>
      <w:r w:rsidRPr="008B347A">
        <w:rPr>
          <w:i/>
          <w:vertAlign w:val="subscript"/>
          <w:lang w:val="es-ES"/>
        </w:rPr>
        <w:t>6</w:t>
      </w:r>
      <w:r w:rsidRPr="008B347A">
        <w:rPr>
          <w:vertAlign w:val="subscript"/>
          <w:lang w:val="es-ES"/>
        </w:rPr>
        <w:t xml:space="preserve"> </w:t>
      </w:r>
      <w:r w:rsidRPr="008B347A">
        <w:rPr>
          <w:lang w:val="es-ES"/>
        </w:rPr>
        <w:t xml:space="preserve">LOGA + </w:t>
      </w:r>
      <w:r w:rsidRPr="008B347A">
        <w:rPr>
          <w:i/>
          <w:lang w:val="es-ES"/>
        </w:rPr>
        <w:t>b</w:t>
      </w:r>
      <w:r w:rsidRPr="008B347A">
        <w:rPr>
          <w:i/>
          <w:vertAlign w:val="subscript"/>
          <w:lang w:val="es-ES"/>
        </w:rPr>
        <w:t>7</w:t>
      </w:r>
      <w:r w:rsidRPr="008B347A">
        <w:rPr>
          <w:lang w:val="es-ES"/>
        </w:rPr>
        <w:t xml:space="preserve"> SOCI + </w:t>
      </w:r>
      <w:r w:rsidRPr="008B347A">
        <w:rPr>
          <w:i/>
          <w:lang w:val="es-ES"/>
        </w:rPr>
        <w:t>b</w:t>
      </w:r>
      <w:r w:rsidRPr="008B347A">
        <w:rPr>
          <w:i/>
          <w:vertAlign w:val="subscript"/>
          <w:lang w:val="es-ES"/>
        </w:rPr>
        <w:t>8</w:t>
      </w:r>
      <w:r w:rsidRPr="008B347A">
        <w:rPr>
          <w:vertAlign w:val="subscript"/>
          <w:lang w:val="es-ES"/>
        </w:rPr>
        <w:t xml:space="preserve"> </w:t>
      </w:r>
      <w:r w:rsidRPr="008B347A">
        <w:rPr>
          <w:lang w:val="es-ES"/>
        </w:rPr>
        <w:t xml:space="preserve">NEGS +        </w:t>
      </w:r>
      <w:r w:rsidRPr="008B347A">
        <w:rPr>
          <w:i/>
          <w:lang w:val="es-ES"/>
        </w:rPr>
        <w:t>b</w:t>
      </w:r>
      <w:r w:rsidRPr="008B347A">
        <w:rPr>
          <w:i/>
          <w:vertAlign w:val="subscript"/>
          <w:lang w:val="es-ES"/>
        </w:rPr>
        <w:t>9</w:t>
      </w:r>
      <w:r w:rsidRPr="008B347A">
        <w:rPr>
          <w:vertAlign w:val="subscript"/>
          <w:lang w:val="es-ES"/>
        </w:rPr>
        <w:t xml:space="preserve"> </w:t>
      </w:r>
      <w:r w:rsidRPr="008B347A">
        <w:rPr>
          <w:lang w:val="es-ES"/>
        </w:rPr>
        <w:t xml:space="preserve">ROTA + </w:t>
      </w:r>
      <w:proofErr w:type="gramStart"/>
      <w:r w:rsidRPr="008B347A">
        <w:rPr>
          <w:i/>
          <w:lang w:val="es-ES"/>
        </w:rPr>
        <w:t>b</w:t>
      </w:r>
      <w:r w:rsidRPr="008B347A">
        <w:rPr>
          <w:i/>
          <w:vertAlign w:val="subscript"/>
          <w:lang w:val="es-ES"/>
        </w:rPr>
        <w:t>10</w:t>
      </w:r>
      <w:r w:rsidRPr="008B347A">
        <w:rPr>
          <w:vertAlign w:val="subscript"/>
          <w:lang w:val="es-ES"/>
        </w:rPr>
        <w:t xml:space="preserve"> </w:t>
      </w:r>
      <w:r w:rsidRPr="008B347A">
        <w:rPr>
          <w:lang w:val="es-ES"/>
        </w:rPr>
        <w:t xml:space="preserve"> ADQS</w:t>
      </w:r>
      <w:proofErr w:type="gramEnd"/>
      <w:r w:rsidRPr="008B347A">
        <w:rPr>
          <w:lang w:val="es-ES"/>
        </w:rPr>
        <w:t xml:space="preserve"> + </w:t>
      </w:r>
      <w:r w:rsidRPr="008B347A">
        <w:rPr>
          <w:i/>
          <w:lang w:val="es-ES"/>
        </w:rPr>
        <w:t>e</w:t>
      </w:r>
      <w:r w:rsidRPr="008B347A">
        <w:rPr>
          <w:lang w:val="es-ES"/>
        </w:rPr>
        <w:tab/>
      </w:r>
      <w:r w:rsidRPr="008B347A">
        <w:rPr>
          <w:lang w:val="es-ES"/>
        </w:rPr>
        <w:tab/>
      </w:r>
      <w:r w:rsidRPr="008B347A">
        <w:rPr>
          <w:lang w:val="es-ES"/>
        </w:rPr>
        <w:tab/>
      </w:r>
      <w:r w:rsidRPr="008B347A">
        <w:rPr>
          <w:lang w:val="es-ES"/>
        </w:rPr>
        <w:tab/>
        <w:t>(1)</w:t>
      </w:r>
    </w:p>
    <w:p w14:paraId="2EE49E6A" w14:textId="40D4BFDA" w:rsidR="00DD1501" w:rsidRPr="008B347A" w:rsidRDefault="00DD1501" w:rsidP="00DD1501">
      <w:pPr>
        <w:spacing w:before="120" w:after="240"/>
        <w:ind w:left="1276" w:right="134" w:hanging="1276"/>
        <w:rPr>
          <w:lang w:val="es-ES"/>
        </w:rPr>
      </w:pPr>
      <w:r w:rsidRPr="008B347A">
        <w:rPr>
          <w:lang w:val="es-ES"/>
        </w:rPr>
        <w:t xml:space="preserve">DEUDA l/p = </w:t>
      </w:r>
      <w:r w:rsidRPr="008B347A">
        <w:rPr>
          <w:i/>
          <w:lang w:val="es-ES"/>
        </w:rPr>
        <w:t>b</w:t>
      </w:r>
      <w:r w:rsidRPr="008B347A">
        <w:rPr>
          <w:i/>
          <w:vertAlign w:val="subscript"/>
          <w:lang w:val="es-ES"/>
        </w:rPr>
        <w:t>0</w:t>
      </w:r>
      <w:r w:rsidRPr="008B347A">
        <w:rPr>
          <w:i/>
          <w:lang w:val="es-ES"/>
        </w:rPr>
        <w:t xml:space="preserve"> </w:t>
      </w:r>
      <w:r w:rsidRPr="008B347A">
        <w:rPr>
          <w:lang w:val="es-ES"/>
        </w:rPr>
        <w:t xml:space="preserve">+ </w:t>
      </w:r>
      <w:r w:rsidRPr="008B347A">
        <w:rPr>
          <w:i/>
          <w:lang w:val="es-ES"/>
        </w:rPr>
        <w:t>b</w:t>
      </w:r>
      <w:r w:rsidRPr="008B347A">
        <w:rPr>
          <w:i/>
          <w:vertAlign w:val="subscript"/>
          <w:lang w:val="es-ES"/>
        </w:rPr>
        <w:t>1</w:t>
      </w:r>
      <w:r w:rsidRPr="008B347A">
        <w:rPr>
          <w:lang w:val="es-ES"/>
        </w:rPr>
        <w:t xml:space="preserve"> AMRT + </w:t>
      </w:r>
      <w:r w:rsidRPr="008B347A">
        <w:rPr>
          <w:i/>
          <w:lang w:val="es-ES"/>
        </w:rPr>
        <w:t>b</w:t>
      </w:r>
      <w:r w:rsidRPr="008B347A">
        <w:rPr>
          <w:i/>
          <w:vertAlign w:val="subscript"/>
          <w:lang w:val="es-ES"/>
        </w:rPr>
        <w:t>2</w:t>
      </w:r>
      <w:r w:rsidRPr="008B347A">
        <w:rPr>
          <w:lang w:val="es-ES"/>
        </w:rPr>
        <w:t xml:space="preserve"> AUTO + </w:t>
      </w:r>
      <w:r w:rsidRPr="008B347A">
        <w:rPr>
          <w:i/>
          <w:lang w:val="es-ES"/>
        </w:rPr>
        <w:t>b</w:t>
      </w:r>
      <w:r w:rsidRPr="008B347A">
        <w:rPr>
          <w:i/>
          <w:vertAlign w:val="subscript"/>
          <w:lang w:val="es-ES"/>
        </w:rPr>
        <w:t>3</w:t>
      </w:r>
      <w:r w:rsidRPr="008B347A">
        <w:rPr>
          <w:lang w:val="es-ES"/>
        </w:rPr>
        <w:t xml:space="preserve"> COMA + </w:t>
      </w:r>
      <w:r w:rsidRPr="008B347A">
        <w:rPr>
          <w:i/>
          <w:lang w:val="es-ES"/>
        </w:rPr>
        <w:t>b</w:t>
      </w:r>
      <w:r w:rsidRPr="008B347A">
        <w:rPr>
          <w:i/>
          <w:vertAlign w:val="subscript"/>
          <w:lang w:val="es-ES"/>
        </w:rPr>
        <w:t>4</w:t>
      </w:r>
      <w:r w:rsidRPr="008B347A">
        <w:rPr>
          <w:vertAlign w:val="subscript"/>
          <w:lang w:val="es-ES"/>
        </w:rPr>
        <w:t xml:space="preserve"> </w:t>
      </w:r>
      <w:r w:rsidRPr="008B347A">
        <w:rPr>
          <w:lang w:val="es-ES"/>
        </w:rPr>
        <w:t xml:space="preserve">LIQ1 + </w:t>
      </w:r>
      <w:r w:rsidRPr="008B347A">
        <w:rPr>
          <w:i/>
          <w:lang w:val="es-ES"/>
        </w:rPr>
        <w:t>b</w:t>
      </w:r>
      <w:r w:rsidRPr="008B347A">
        <w:rPr>
          <w:i/>
          <w:vertAlign w:val="subscript"/>
          <w:lang w:val="es-ES"/>
        </w:rPr>
        <w:t>5</w:t>
      </w:r>
      <w:r w:rsidRPr="008B347A">
        <w:rPr>
          <w:vertAlign w:val="subscript"/>
          <w:lang w:val="es-ES"/>
        </w:rPr>
        <w:t xml:space="preserve"> </w:t>
      </w:r>
      <w:r w:rsidRPr="008B347A">
        <w:rPr>
          <w:lang w:val="es-ES"/>
        </w:rPr>
        <w:t xml:space="preserve">LIQ2 + </w:t>
      </w:r>
      <w:r w:rsidRPr="008B347A">
        <w:rPr>
          <w:i/>
          <w:lang w:val="es-ES"/>
        </w:rPr>
        <w:t>b</w:t>
      </w:r>
      <w:r w:rsidRPr="008B347A">
        <w:rPr>
          <w:i/>
          <w:vertAlign w:val="subscript"/>
          <w:lang w:val="es-ES"/>
        </w:rPr>
        <w:t>6</w:t>
      </w:r>
      <w:r w:rsidRPr="008B347A">
        <w:rPr>
          <w:vertAlign w:val="subscript"/>
          <w:lang w:val="es-ES"/>
        </w:rPr>
        <w:t xml:space="preserve"> </w:t>
      </w:r>
      <w:r w:rsidRPr="008B347A">
        <w:rPr>
          <w:lang w:val="es-ES"/>
        </w:rPr>
        <w:t xml:space="preserve">LOGA + </w:t>
      </w:r>
      <w:r w:rsidRPr="008B347A">
        <w:rPr>
          <w:i/>
          <w:lang w:val="es-ES"/>
        </w:rPr>
        <w:t>b</w:t>
      </w:r>
      <w:r w:rsidRPr="008B347A">
        <w:rPr>
          <w:i/>
          <w:vertAlign w:val="subscript"/>
          <w:lang w:val="es-ES"/>
        </w:rPr>
        <w:t>7</w:t>
      </w:r>
      <w:r w:rsidRPr="008B347A">
        <w:rPr>
          <w:lang w:val="es-ES"/>
        </w:rPr>
        <w:t xml:space="preserve"> SOCI + </w:t>
      </w:r>
      <w:proofErr w:type="gramStart"/>
      <w:r w:rsidRPr="008B347A">
        <w:rPr>
          <w:i/>
          <w:lang w:val="es-ES"/>
        </w:rPr>
        <w:t>b</w:t>
      </w:r>
      <w:r w:rsidRPr="008B347A">
        <w:rPr>
          <w:i/>
          <w:vertAlign w:val="subscript"/>
          <w:lang w:val="es-ES"/>
        </w:rPr>
        <w:t>8</w:t>
      </w:r>
      <w:r w:rsidRPr="008B347A">
        <w:rPr>
          <w:vertAlign w:val="subscript"/>
          <w:lang w:val="es-ES"/>
        </w:rPr>
        <w:t xml:space="preserve">  </w:t>
      </w:r>
      <w:r w:rsidRPr="008B347A">
        <w:rPr>
          <w:lang w:val="es-ES"/>
        </w:rPr>
        <w:t>NEGS</w:t>
      </w:r>
      <w:proofErr w:type="gramEnd"/>
      <w:r w:rsidRPr="008B347A">
        <w:rPr>
          <w:lang w:val="es-ES"/>
        </w:rPr>
        <w:t xml:space="preserve"> +       </w:t>
      </w:r>
      <w:r w:rsidRPr="008B347A">
        <w:rPr>
          <w:i/>
          <w:lang w:val="es-ES"/>
        </w:rPr>
        <w:t>b</w:t>
      </w:r>
      <w:r w:rsidRPr="008B347A">
        <w:rPr>
          <w:i/>
          <w:vertAlign w:val="subscript"/>
          <w:lang w:val="es-ES"/>
        </w:rPr>
        <w:t>9</w:t>
      </w:r>
      <w:r w:rsidRPr="008B347A">
        <w:rPr>
          <w:vertAlign w:val="subscript"/>
          <w:lang w:val="es-ES"/>
        </w:rPr>
        <w:t xml:space="preserve"> </w:t>
      </w:r>
      <w:r w:rsidRPr="008B347A">
        <w:rPr>
          <w:lang w:val="es-ES"/>
        </w:rPr>
        <w:t xml:space="preserve">ROTA + </w:t>
      </w:r>
      <w:r w:rsidRPr="008B347A">
        <w:rPr>
          <w:i/>
          <w:lang w:val="es-ES"/>
        </w:rPr>
        <w:t>b</w:t>
      </w:r>
      <w:r w:rsidRPr="008B347A">
        <w:rPr>
          <w:i/>
          <w:vertAlign w:val="subscript"/>
          <w:lang w:val="es-ES"/>
        </w:rPr>
        <w:t>10</w:t>
      </w:r>
      <w:r w:rsidRPr="008B347A">
        <w:rPr>
          <w:vertAlign w:val="subscript"/>
          <w:lang w:val="es-ES"/>
        </w:rPr>
        <w:t xml:space="preserve"> </w:t>
      </w:r>
      <w:r w:rsidRPr="008B347A">
        <w:rPr>
          <w:lang w:val="es-ES"/>
        </w:rPr>
        <w:t xml:space="preserve"> ADQS + </w:t>
      </w:r>
      <w:r w:rsidRPr="008B347A">
        <w:rPr>
          <w:i/>
          <w:lang w:val="es-ES"/>
        </w:rPr>
        <w:t>e</w:t>
      </w:r>
      <w:r w:rsidRPr="008B347A">
        <w:rPr>
          <w:lang w:val="es-ES"/>
        </w:rPr>
        <w:t xml:space="preserve"> </w:t>
      </w:r>
      <w:r w:rsidRPr="008B347A">
        <w:rPr>
          <w:lang w:val="es-ES"/>
        </w:rPr>
        <w:tab/>
      </w:r>
      <w:r w:rsidRPr="008B347A">
        <w:rPr>
          <w:lang w:val="es-ES"/>
        </w:rPr>
        <w:tab/>
      </w:r>
      <w:r w:rsidRPr="008B347A">
        <w:rPr>
          <w:lang w:val="es-ES"/>
        </w:rPr>
        <w:tab/>
        <w:t xml:space="preserve">     (2)</w:t>
      </w:r>
    </w:p>
    <w:p w14:paraId="33F8433D" w14:textId="77777777" w:rsidR="00DD1501" w:rsidRPr="00DD1501" w:rsidRDefault="00DD1501" w:rsidP="00DD1501">
      <w:pPr>
        <w:rPr>
          <w:lang w:val="es-ES"/>
        </w:rPr>
      </w:pPr>
      <w:r w:rsidRPr="00DD1501">
        <w:rPr>
          <w:lang w:val="es-ES"/>
        </w:rPr>
        <w:t>Las Tablas 2 y 3 presentan los resultados de los análisis de regresión estimados por mínimos cuadrados ordinarios realizados sobre la muestra de cooperativas y con el ratio de endeudamiento total (modelo 1) y el ratio de deuda a l/p (modelo 2) respectivamente como variables dependientes. Respecto a la significatividad conjunta de los parámetros, se rechaza la hipótesis de que todos los coeficientes de regresión del modelo 1 sean igual a cero (F=51.378, p&lt;0.000). Los coeficientes estandarizados (Tabla 2) revelan que una variación en una desviación típica de las variables autofinanciación (AUTO), liquidez general (LIQ1), logaritmo del activo total (LOGA), composición del activo (COMA), volumen de negocio por socio (NEGS) y rotación (ROTA), genera, respectivamente, una variación de -0.693, -0.340, -0.124, -0.111, 0.238 y -0.105 en la desviación típica del endeudamiento total (END.T), asumiendo constantes el resto de variables. Los valores del estadístico t de dichas variables son significativamente distintos de cero al nivel 0.05. El signo negativo de la mayoría de los coeficientes revela que cualquier incremento en estas variables generaría una reducción del endeudamiento total de la cooperativa, en tanto que cualquier incremento del volumen de negocio por socio (coeficiente con signo positivo) redundaría en un incremento del endeudamiento total de ésta.</w:t>
      </w:r>
    </w:p>
    <w:p w14:paraId="5A00739E" w14:textId="77777777" w:rsidR="00DD1501" w:rsidRDefault="00DD1501" w:rsidP="00DD1501">
      <w:pPr>
        <w:spacing w:before="120"/>
        <w:jc w:val="center"/>
        <w:rPr>
          <w:b/>
          <w:sz w:val="18"/>
          <w:szCs w:val="18"/>
        </w:rPr>
      </w:pPr>
    </w:p>
    <w:p w14:paraId="7D376DA9" w14:textId="77777777" w:rsidR="00DD1501" w:rsidRPr="008B347A" w:rsidRDefault="00DD1501" w:rsidP="00DD1501">
      <w:pPr>
        <w:spacing w:before="120"/>
        <w:jc w:val="center"/>
        <w:rPr>
          <w:b/>
          <w:sz w:val="18"/>
          <w:szCs w:val="18"/>
          <w:lang w:val="es-ES"/>
        </w:rPr>
      </w:pPr>
      <w:r w:rsidRPr="008B347A">
        <w:rPr>
          <w:b/>
          <w:sz w:val="18"/>
          <w:szCs w:val="18"/>
          <w:lang w:val="es-ES"/>
        </w:rPr>
        <w:t>Tabla 2. Coeficientes de regresión para el modelo END.T.</w:t>
      </w:r>
    </w:p>
    <w:tbl>
      <w:tblPr>
        <w:tblStyle w:val="Tablaconcuadrcula"/>
        <w:tblW w:w="0" w:type="auto"/>
        <w:jc w:val="center"/>
        <w:tblLook w:val="04A0" w:firstRow="1" w:lastRow="0" w:firstColumn="1" w:lastColumn="0" w:noHBand="0" w:noVBand="1"/>
      </w:tblPr>
      <w:tblGrid>
        <w:gridCol w:w="1184"/>
        <w:gridCol w:w="1472"/>
        <w:gridCol w:w="1149"/>
        <w:gridCol w:w="1437"/>
        <w:gridCol w:w="1068"/>
        <w:gridCol w:w="1084"/>
        <w:gridCol w:w="1036"/>
      </w:tblGrid>
      <w:tr w:rsidR="00DD1501" w:rsidRPr="00DD1501" w14:paraId="00FF5194" w14:textId="77777777" w:rsidTr="00DD1501">
        <w:trPr>
          <w:jc w:val="center"/>
        </w:trPr>
        <w:tc>
          <w:tcPr>
            <w:tcW w:w="1184" w:type="dxa"/>
          </w:tcPr>
          <w:p w14:paraId="419FA3FC" w14:textId="77777777" w:rsidR="00DD1501" w:rsidRPr="008B347A" w:rsidRDefault="00DD1501" w:rsidP="00DD1501">
            <w:pPr>
              <w:spacing w:before="120"/>
              <w:jc w:val="center"/>
              <w:rPr>
                <w:rFonts w:ascii="Times New Roman" w:hAnsi="Times New Roman" w:cs="Times New Roman"/>
                <w:sz w:val="18"/>
                <w:szCs w:val="18"/>
                <w:lang w:val="es-ES"/>
              </w:rPr>
            </w:pPr>
          </w:p>
        </w:tc>
        <w:tc>
          <w:tcPr>
            <w:tcW w:w="1472" w:type="dxa"/>
          </w:tcPr>
          <w:p w14:paraId="2462C58D" w14:textId="77777777" w:rsidR="00DD1501" w:rsidRPr="00DD1501" w:rsidRDefault="00DD1501" w:rsidP="00DD1501">
            <w:pPr>
              <w:spacing w:before="120"/>
              <w:rPr>
                <w:rFonts w:ascii="Times New Roman" w:hAnsi="Times New Roman" w:cs="Times New Roman"/>
                <w:sz w:val="18"/>
                <w:szCs w:val="18"/>
              </w:rPr>
            </w:pPr>
            <w:proofErr w:type="spellStart"/>
            <w:r w:rsidRPr="00DD1501">
              <w:rPr>
                <w:rFonts w:ascii="Times New Roman" w:hAnsi="Times New Roman" w:cs="Times New Roman"/>
                <w:sz w:val="18"/>
                <w:szCs w:val="18"/>
              </w:rPr>
              <w:t>Coeficientes</w:t>
            </w:r>
            <w:proofErr w:type="spellEnd"/>
            <w:r w:rsidRPr="00DD1501">
              <w:rPr>
                <w:rFonts w:ascii="Times New Roman" w:hAnsi="Times New Roman" w:cs="Times New Roman"/>
                <w:sz w:val="18"/>
                <w:szCs w:val="18"/>
              </w:rPr>
              <w:t xml:space="preserve"> no </w:t>
            </w:r>
            <w:proofErr w:type="spellStart"/>
            <w:r w:rsidRPr="00DD1501">
              <w:rPr>
                <w:rFonts w:ascii="Times New Roman" w:hAnsi="Times New Roman" w:cs="Times New Roman"/>
                <w:sz w:val="18"/>
                <w:szCs w:val="18"/>
              </w:rPr>
              <w:t>estandarizados</w:t>
            </w:r>
            <w:proofErr w:type="spellEnd"/>
          </w:p>
        </w:tc>
        <w:tc>
          <w:tcPr>
            <w:tcW w:w="1149" w:type="dxa"/>
          </w:tcPr>
          <w:p w14:paraId="7C41853D"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 xml:space="preserve">Error </w:t>
            </w:r>
            <w:proofErr w:type="spellStart"/>
            <w:r w:rsidRPr="00DD1501">
              <w:rPr>
                <w:rFonts w:ascii="Times New Roman" w:hAnsi="Times New Roman" w:cs="Times New Roman"/>
                <w:sz w:val="18"/>
                <w:szCs w:val="18"/>
              </w:rPr>
              <w:t>estándar</w:t>
            </w:r>
            <w:proofErr w:type="spellEnd"/>
          </w:p>
        </w:tc>
        <w:tc>
          <w:tcPr>
            <w:tcW w:w="1437" w:type="dxa"/>
          </w:tcPr>
          <w:p w14:paraId="78A17F40" w14:textId="77777777" w:rsidR="00DD1501" w:rsidRPr="00DD1501" w:rsidRDefault="00DD1501" w:rsidP="00DD1501">
            <w:pPr>
              <w:spacing w:before="120"/>
              <w:rPr>
                <w:rFonts w:ascii="Times New Roman" w:hAnsi="Times New Roman" w:cs="Times New Roman"/>
                <w:sz w:val="18"/>
                <w:szCs w:val="18"/>
              </w:rPr>
            </w:pPr>
            <w:proofErr w:type="spellStart"/>
            <w:r w:rsidRPr="00DD1501">
              <w:rPr>
                <w:rFonts w:ascii="Times New Roman" w:hAnsi="Times New Roman" w:cs="Times New Roman"/>
                <w:sz w:val="18"/>
                <w:szCs w:val="18"/>
              </w:rPr>
              <w:t>Coeficientes</w:t>
            </w:r>
            <w:proofErr w:type="spellEnd"/>
            <w:r w:rsidRPr="00DD1501">
              <w:rPr>
                <w:rFonts w:ascii="Times New Roman" w:hAnsi="Times New Roman" w:cs="Times New Roman"/>
                <w:sz w:val="18"/>
                <w:szCs w:val="18"/>
              </w:rPr>
              <w:t xml:space="preserve"> </w:t>
            </w:r>
            <w:proofErr w:type="spellStart"/>
            <w:r w:rsidRPr="00DD1501">
              <w:rPr>
                <w:rFonts w:ascii="Times New Roman" w:hAnsi="Times New Roman" w:cs="Times New Roman"/>
                <w:sz w:val="18"/>
                <w:szCs w:val="18"/>
              </w:rPr>
              <w:t>estandarizados</w:t>
            </w:r>
            <w:proofErr w:type="spellEnd"/>
          </w:p>
        </w:tc>
        <w:tc>
          <w:tcPr>
            <w:tcW w:w="1068" w:type="dxa"/>
          </w:tcPr>
          <w:p w14:paraId="669BB175"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i/>
                <w:sz w:val="18"/>
                <w:szCs w:val="18"/>
              </w:rPr>
              <w:t>t</w:t>
            </w:r>
            <w:r w:rsidRPr="00DD1501">
              <w:rPr>
                <w:rFonts w:ascii="Times New Roman" w:hAnsi="Times New Roman" w:cs="Times New Roman"/>
                <w:sz w:val="18"/>
                <w:szCs w:val="18"/>
              </w:rPr>
              <w:t>-value</w:t>
            </w:r>
          </w:p>
        </w:tc>
        <w:tc>
          <w:tcPr>
            <w:tcW w:w="1084" w:type="dxa"/>
          </w:tcPr>
          <w:p w14:paraId="7DF3D567"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i/>
                <w:sz w:val="18"/>
                <w:szCs w:val="18"/>
              </w:rPr>
              <w:t>P</w:t>
            </w:r>
            <w:r w:rsidRPr="00DD1501">
              <w:rPr>
                <w:rFonts w:ascii="Times New Roman" w:hAnsi="Times New Roman" w:cs="Times New Roman"/>
                <w:sz w:val="18"/>
                <w:szCs w:val="18"/>
              </w:rPr>
              <w:t xml:space="preserve"> (</w:t>
            </w:r>
            <w:r w:rsidRPr="00DD1501">
              <w:rPr>
                <w:rFonts w:ascii="Times New Roman" w:hAnsi="Times New Roman" w:cs="Times New Roman"/>
                <w:i/>
                <w:sz w:val="18"/>
                <w:szCs w:val="18"/>
              </w:rPr>
              <w:t>t</w:t>
            </w:r>
            <w:r w:rsidRPr="00DD1501">
              <w:rPr>
                <w:rFonts w:ascii="Times New Roman" w:hAnsi="Times New Roman" w:cs="Times New Roman"/>
                <w:sz w:val="18"/>
                <w:szCs w:val="18"/>
              </w:rPr>
              <w:t>-value)</w:t>
            </w:r>
          </w:p>
        </w:tc>
        <w:tc>
          <w:tcPr>
            <w:tcW w:w="1036" w:type="dxa"/>
          </w:tcPr>
          <w:p w14:paraId="0E4ED2F2" w14:textId="77777777" w:rsidR="00DD1501" w:rsidRPr="00DD1501" w:rsidRDefault="00DD1501" w:rsidP="00DD1501">
            <w:pPr>
              <w:spacing w:before="120"/>
              <w:rPr>
                <w:rFonts w:ascii="Times New Roman" w:hAnsi="Times New Roman" w:cs="Times New Roman"/>
                <w:sz w:val="18"/>
                <w:szCs w:val="18"/>
              </w:rPr>
            </w:pPr>
            <w:proofErr w:type="spellStart"/>
            <w:r w:rsidRPr="00DD1501">
              <w:rPr>
                <w:rFonts w:ascii="Times New Roman" w:hAnsi="Times New Roman" w:cs="Times New Roman"/>
                <w:sz w:val="18"/>
                <w:szCs w:val="18"/>
              </w:rPr>
              <w:t>Índices</w:t>
            </w:r>
            <w:proofErr w:type="spellEnd"/>
            <w:r w:rsidRPr="00DD1501">
              <w:rPr>
                <w:rFonts w:ascii="Times New Roman" w:hAnsi="Times New Roman" w:cs="Times New Roman"/>
                <w:sz w:val="18"/>
                <w:szCs w:val="18"/>
              </w:rPr>
              <w:t xml:space="preserve"> </w:t>
            </w:r>
            <w:proofErr w:type="spellStart"/>
            <w:r w:rsidRPr="00DD1501">
              <w:rPr>
                <w:rFonts w:ascii="Times New Roman" w:hAnsi="Times New Roman" w:cs="Times New Roman"/>
                <w:sz w:val="18"/>
                <w:szCs w:val="18"/>
              </w:rPr>
              <w:t>condición</w:t>
            </w:r>
            <w:proofErr w:type="spellEnd"/>
          </w:p>
        </w:tc>
      </w:tr>
      <w:tr w:rsidR="00DD1501" w:rsidRPr="00DD1501" w14:paraId="07498F3A" w14:textId="77777777" w:rsidTr="00DD1501">
        <w:trPr>
          <w:trHeight w:hRule="exact" w:val="397"/>
          <w:jc w:val="center"/>
        </w:trPr>
        <w:tc>
          <w:tcPr>
            <w:tcW w:w="1184" w:type="dxa"/>
          </w:tcPr>
          <w:p w14:paraId="5DE94F10"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w:t>
            </w:r>
            <w:proofErr w:type="spellStart"/>
            <w:r w:rsidRPr="00DD1501">
              <w:rPr>
                <w:rFonts w:ascii="Times New Roman" w:hAnsi="Times New Roman" w:cs="Times New Roman"/>
                <w:sz w:val="18"/>
                <w:szCs w:val="18"/>
              </w:rPr>
              <w:t>constante</w:t>
            </w:r>
            <w:proofErr w:type="spellEnd"/>
            <w:r w:rsidRPr="00DD1501">
              <w:rPr>
                <w:rFonts w:ascii="Times New Roman" w:hAnsi="Times New Roman" w:cs="Times New Roman"/>
                <w:sz w:val="18"/>
                <w:szCs w:val="18"/>
              </w:rPr>
              <w:t>)</w:t>
            </w:r>
          </w:p>
        </w:tc>
        <w:tc>
          <w:tcPr>
            <w:tcW w:w="1472" w:type="dxa"/>
          </w:tcPr>
          <w:p w14:paraId="5A8B10C6"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1.143</w:t>
            </w:r>
          </w:p>
        </w:tc>
        <w:tc>
          <w:tcPr>
            <w:tcW w:w="1149" w:type="dxa"/>
          </w:tcPr>
          <w:p w14:paraId="240F59D1"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0.097</w:t>
            </w:r>
          </w:p>
        </w:tc>
        <w:tc>
          <w:tcPr>
            <w:tcW w:w="1437" w:type="dxa"/>
          </w:tcPr>
          <w:p w14:paraId="7BF57140" w14:textId="77777777" w:rsidR="00DD1501" w:rsidRPr="00DD1501" w:rsidRDefault="00DD1501" w:rsidP="00DD1501">
            <w:pPr>
              <w:spacing w:before="120"/>
              <w:jc w:val="center"/>
              <w:rPr>
                <w:rFonts w:ascii="Times New Roman" w:hAnsi="Times New Roman" w:cs="Times New Roman"/>
                <w:b/>
                <w:sz w:val="18"/>
                <w:szCs w:val="18"/>
              </w:rPr>
            </w:pPr>
          </w:p>
        </w:tc>
        <w:tc>
          <w:tcPr>
            <w:tcW w:w="1068" w:type="dxa"/>
          </w:tcPr>
          <w:p w14:paraId="1206ABA6"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11.727</w:t>
            </w:r>
          </w:p>
        </w:tc>
        <w:tc>
          <w:tcPr>
            <w:tcW w:w="1084" w:type="dxa"/>
          </w:tcPr>
          <w:p w14:paraId="24F3BB79"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0.000</w:t>
            </w:r>
          </w:p>
        </w:tc>
        <w:tc>
          <w:tcPr>
            <w:tcW w:w="1036" w:type="dxa"/>
          </w:tcPr>
          <w:p w14:paraId="356BE554"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1.000</w:t>
            </w:r>
          </w:p>
        </w:tc>
      </w:tr>
      <w:tr w:rsidR="00DD1501" w:rsidRPr="00DD1501" w14:paraId="394FCB95" w14:textId="77777777" w:rsidTr="00DD1501">
        <w:trPr>
          <w:trHeight w:hRule="exact" w:val="397"/>
          <w:jc w:val="center"/>
        </w:trPr>
        <w:tc>
          <w:tcPr>
            <w:tcW w:w="1184" w:type="dxa"/>
          </w:tcPr>
          <w:p w14:paraId="2C085107"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AMRT</w:t>
            </w:r>
          </w:p>
        </w:tc>
        <w:tc>
          <w:tcPr>
            <w:tcW w:w="1472" w:type="dxa"/>
          </w:tcPr>
          <w:p w14:paraId="561952C8"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0.353</w:t>
            </w:r>
          </w:p>
        </w:tc>
        <w:tc>
          <w:tcPr>
            <w:tcW w:w="1149" w:type="dxa"/>
          </w:tcPr>
          <w:p w14:paraId="2489A94F"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0.262</w:t>
            </w:r>
          </w:p>
        </w:tc>
        <w:tc>
          <w:tcPr>
            <w:tcW w:w="1437" w:type="dxa"/>
          </w:tcPr>
          <w:p w14:paraId="50310FB1"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0.059</w:t>
            </w:r>
          </w:p>
        </w:tc>
        <w:tc>
          <w:tcPr>
            <w:tcW w:w="1068" w:type="dxa"/>
          </w:tcPr>
          <w:p w14:paraId="0533EAE5"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1.345</w:t>
            </w:r>
          </w:p>
        </w:tc>
        <w:tc>
          <w:tcPr>
            <w:tcW w:w="1084" w:type="dxa"/>
          </w:tcPr>
          <w:p w14:paraId="33C714C1"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0.182</w:t>
            </w:r>
          </w:p>
        </w:tc>
        <w:tc>
          <w:tcPr>
            <w:tcW w:w="1036" w:type="dxa"/>
          </w:tcPr>
          <w:p w14:paraId="7774077A"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2.174</w:t>
            </w:r>
          </w:p>
        </w:tc>
      </w:tr>
      <w:tr w:rsidR="00DD1501" w:rsidRPr="00DD1501" w14:paraId="0A575E7D" w14:textId="77777777" w:rsidTr="00DD1501">
        <w:trPr>
          <w:trHeight w:hRule="exact" w:val="397"/>
          <w:jc w:val="center"/>
        </w:trPr>
        <w:tc>
          <w:tcPr>
            <w:tcW w:w="1184" w:type="dxa"/>
          </w:tcPr>
          <w:p w14:paraId="4541DB23"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AUTO</w:t>
            </w:r>
          </w:p>
        </w:tc>
        <w:tc>
          <w:tcPr>
            <w:tcW w:w="1472" w:type="dxa"/>
          </w:tcPr>
          <w:p w14:paraId="0A80968C"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-0.712</w:t>
            </w:r>
          </w:p>
        </w:tc>
        <w:tc>
          <w:tcPr>
            <w:tcW w:w="1149" w:type="dxa"/>
          </w:tcPr>
          <w:p w14:paraId="021C419E"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0.052</w:t>
            </w:r>
          </w:p>
        </w:tc>
        <w:tc>
          <w:tcPr>
            <w:tcW w:w="1437" w:type="dxa"/>
          </w:tcPr>
          <w:p w14:paraId="110E0C30"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-0.693</w:t>
            </w:r>
          </w:p>
        </w:tc>
        <w:tc>
          <w:tcPr>
            <w:tcW w:w="1068" w:type="dxa"/>
          </w:tcPr>
          <w:p w14:paraId="62F65359"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-13.751</w:t>
            </w:r>
          </w:p>
        </w:tc>
        <w:tc>
          <w:tcPr>
            <w:tcW w:w="1084" w:type="dxa"/>
          </w:tcPr>
          <w:p w14:paraId="1EE859DF"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0.000</w:t>
            </w:r>
          </w:p>
        </w:tc>
        <w:tc>
          <w:tcPr>
            <w:tcW w:w="1036" w:type="dxa"/>
          </w:tcPr>
          <w:p w14:paraId="52CC8000"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2.442</w:t>
            </w:r>
          </w:p>
        </w:tc>
      </w:tr>
      <w:tr w:rsidR="00DD1501" w:rsidRPr="00DD1501" w14:paraId="4E065441" w14:textId="77777777" w:rsidTr="00DD1501">
        <w:trPr>
          <w:trHeight w:hRule="exact" w:val="397"/>
          <w:jc w:val="center"/>
        </w:trPr>
        <w:tc>
          <w:tcPr>
            <w:tcW w:w="1184" w:type="dxa"/>
          </w:tcPr>
          <w:p w14:paraId="54D096C2"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COMA</w:t>
            </w:r>
          </w:p>
        </w:tc>
        <w:tc>
          <w:tcPr>
            <w:tcW w:w="1472" w:type="dxa"/>
          </w:tcPr>
          <w:p w14:paraId="613476E7"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-0.132</w:t>
            </w:r>
          </w:p>
        </w:tc>
        <w:tc>
          <w:tcPr>
            <w:tcW w:w="1149" w:type="dxa"/>
          </w:tcPr>
          <w:p w14:paraId="34C2615F"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0.059</w:t>
            </w:r>
          </w:p>
        </w:tc>
        <w:tc>
          <w:tcPr>
            <w:tcW w:w="1437" w:type="dxa"/>
          </w:tcPr>
          <w:p w14:paraId="201E511B"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-0.111</w:t>
            </w:r>
          </w:p>
        </w:tc>
        <w:tc>
          <w:tcPr>
            <w:tcW w:w="1068" w:type="dxa"/>
          </w:tcPr>
          <w:p w14:paraId="461A393F"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-2.234</w:t>
            </w:r>
          </w:p>
        </w:tc>
        <w:tc>
          <w:tcPr>
            <w:tcW w:w="1084" w:type="dxa"/>
          </w:tcPr>
          <w:p w14:paraId="771307D1"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0.028</w:t>
            </w:r>
          </w:p>
        </w:tc>
        <w:tc>
          <w:tcPr>
            <w:tcW w:w="1036" w:type="dxa"/>
          </w:tcPr>
          <w:p w14:paraId="301FC647"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3.328</w:t>
            </w:r>
          </w:p>
        </w:tc>
      </w:tr>
      <w:tr w:rsidR="00DD1501" w:rsidRPr="00DD1501" w14:paraId="42FF1462" w14:textId="77777777" w:rsidTr="00DD1501">
        <w:trPr>
          <w:trHeight w:hRule="exact" w:val="397"/>
          <w:jc w:val="center"/>
        </w:trPr>
        <w:tc>
          <w:tcPr>
            <w:tcW w:w="1184" w:type="dxa"/>
          </w:tcPr>
          <w:p w14:paraId="63DB1FDF"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LIQ1</w:t>
            </w:r>
          </w:p>
        </w:tc>
        <w:tc>
          <w:tcPr>
            <w:tcW w:w="1472" w:type="dxa"/>
          </w:tcPr>
          <w:p w14:paraId="68629B2E"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-0.020</w:t>
            </w:r>
          </w:p>
        </w:tc>
        <w:tc>
          <w:tcPr>
            <w:tcW w:w="1149" w:type="dxa"/>
          </w:tcPr>
          <w:p w14:paraId="29E82681"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0.003</w:t>
            </w:r>
          </w:p>
        </w:tc>
        <w:tc>
          <w:tcPr>
            <w:tcW w:w="1437" w:type="dxa"/>
          </w:tcPr>
          <w:p w14:paraId="4A19E0D4"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-0.340</w:t>
            </w:r>
          </w:p>
        </w:tc>
        <w:tc>
          <w:tcPr>
            <w:tcW w:w="1068" w:type="dxa"/>
          </w:tcPr>
          <w:p w14:paraId="5DD3072C"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-7.328</w:t>
            </w:r>
          </w:p>
        </w:tc>
        <w:tc>
          <w:tcPr>
            <w:tcW w:w="1084" w:type="dxa"/>
          </w:tcPr>
          <w:p w14:paraId="03C6FAE1"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0.000</w:t>
            </w:r>
          </w:p>
        </w:tc>
        <w:tc>
          <w:tcPr>
            <w:tcW w:w="1036" w:type="dxa"/>
          </w:tcPr>
          <w:p w14:paraId="03933FB1"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3.565</w:t>
            </w:r>
          </w:p>
        </w:tc>
      </w:tr>
      <w:tr w:rsidR="00DD1501" w:rsidRPr="00DD1501" w14:paraId="424E3C38" w14:textId="77777777" w:rsidTr="00DD1501">
        <w:trPr>
          <w:trHeight w:hRule="exact" w:val="397"/>
          <w:jc w:val="center"/>
        </w:trPr>
        <w:tc>
          <w:tcPr>
            <w:tcW w:w="1184" w:type="dxa"/>
          </w:tcPr>
          <w:p w14:paraId="4EBDDE73"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LIQ2</w:t>
            </w:r>
          </w:p>
        </w:tc>
        <w:tc>
          <w:tcPr>
            <w:tcW w:w="1472" w:type="dxa"/>
          </w:tcPr>
          <w:p w14:paraId="650BBC5D"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0.067</w:t>
            </w:r>
          </w:p>
        </w:tc>
        <w:tc>
          <w:tcPr>
            <w:tcW w:w="1149" w:type="dxa"/>
          </w:tcPr>
          <w:p w14:paraId="0E462CC8"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0.100</w:t>
            </w:r>
          </w:p>
        </w:tc>
        <w:tc>
          <w:tcPr>
            <w:tcW w:w="1437" w:type="dxa"/>
          </w:tcPr>
          <w:p w14:paraId="3530A4D6"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0.031</w:t>
            </w:r>
          </w:p>
        </w:tc>
        <w:tc>
          <w:tcPr>
            <w:tcW w:w="1068" w:type="dxa"/>
          </w:tcPr>
          <w:p w14:paraId="263077B7"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0.666</w:t>
            </w:r>
          </w:p>
        </w:tc>
        <w:tc>
          <w:tcPr>
            <w:tcW w:w="1084" w:type="dxa"/>
          </w:tcPr>
          <w:p w14:paraId="2C6D7662"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0.507</w:t>
            </w:r>
          </w:p>
        </w:tc>
        <w:tc>
          <w:tcPr>
            <w:tcW w:w="1036" w:type="dxa"/>
          </w:tcPr>
          <w:p w14:paraId="7E634B57"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3.799</w:t>
            </w:r>
          </w:p>
        </w:tc>
      </w:tr>
      <w:tr w:rsidR="00DD1501" w:rsidRPr="00DD1501" w14:paraId="5DC5157F" w14:textId="77777777" w:rsidTr="00DD1501">
        <w:trPr>
          <w:trHeight w:hRule="exact" w:val="397"/>
          <w:jc w:val="center"/>
        </w:trPr>
        <w:tc>
          <w:tcPr>
            <w:tcW w:w="1184" w:type="dxa"/>
          </w:tcPr>
          <w:p w14:paraId="4E6914AC"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LOGA</w:t>
            </w:r>
          </w:p>
        </w:tc>
        <w:tc>
          <w:tcPr>
            <w:tcW w:w="1472" w:type="dxa"/>
          </w:tcPr>
          <w:p w14:paraId="304AECA4"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-0.065</w:t>
            </w:r>
          </w:p>
        </w:tc>
        <w:tc>
          <w:tcPr>
            <w:tcW w:w="1149" w:type="dxa"/>
          </w:tcPr>
          <w:p w14:paraId="45652778"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0.025</w:t>
            </w:r>
          </w:p>
        </w:tc>
        <w:tc>
          <w:tcPr>
            <w:tcW w:w="1437" w:type="dxa"/>
          </w:tcPr>
          <w:p w14:paraId="54A802E8"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-0.124</w:t>
            </w:r>
          </w:p>
        </w:tc>
        <w:tc>
          <w:tcPr>
            <w:tcW w:w="1068" w:type="dxa"/>
          </w:tcPr>
          <w:p w14:paraId="4C844FBA"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-2.600</w:t>
            </w:r>
          </w:p>
        </w:tc>
        <w:tc>
          <w:tcPr>
            <w:tcW w:w="1084" w:type="dxa"/>
          </w:tcPr>
          <w:p w14:paraId="0AF37D6C"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0.011</w:t>
            </w:r>
          </w:p>
        </w:tc>
        <w:tc>
          <w:tcPr>
            <w:tcW w:w="1036" w:type="dxa"/>
          </w:tcPr>
          <w:p w14:paraId="3A1F4C76"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5.117</w:t>
            </w:r>
          </w:p>
        </w:tc>
      </w:tr>
      <w:tr w:rsidR="00DD1501" w:rsidRPr="00DD1501" w14:paraId="31AFB67B" w14:textId="77777777" w:rsidTr="00DD1501">
        <w:trPr>
          <w:trHeight w:hRule="exact" w:val="397"/>
          <w:jc w:val="center"/>
        </w:trPr>
        <w:tc>
          <w:tcPr>
            <w:tcW w:w="1184" w:type="dxa"/>
          </w:tcPr>
          <w:p w14:paraId="6CD67FAD"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ROTA</w:t>
            </w:r>
          </w:p>
        </w:tc>
        <w:tc>
          <w:tcPr>
            <w:tcW w:w="1472" w:type="dxa"/>
          </w:tcPr>
          <w:p w14:paraId="7BED082E"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-0.027</w:t>
            </w:r>
          </w:p>
        </w:tc>
        <w:tc>
          <w:tcPr>
            <w:tcW w:w="1149" w:type="dxa"/>
          </w:tcPr>
          <w:p w14:paraId="4F5FC21F"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0.013</w:t>
            </w:r>
          </w:p>
        </w:tc>
        <w:tc>
          <w:tcPr>
            <w:tcW w:w="1437" w:type="dxa"/>
          </w:tcPr>
          <w:p w14:paraId="27A71161"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-0.105</w:t>
            </w:r>
          </w:p>
        </w:tc>
        <w:tc>
          <w:tcPr>
            <w:tcW w:w="1068" w:type="dxa"/>
          </w:tcPr>
          <w:p w14:paraId="4F528237"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-2.161</w:t>
            </w:r>
          </w:p>
        </w:tc>
        <w:tc>
          <w:tcPr>
            <w:tcW w:w="1084" w:type="dxa"/>
          </w:tcPr>
          <w:p w14:paraId="2B5A58DD"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0.033</w:t>
            </w:r>
          </w:p>
        </w:tc>
        <w:tc>
          <w:tcPr>
            <w:tcW w:w="1036" w:type="dxa"/>
          </w:tcPr>
          <w:p w14:paraId="440FEACE"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6.581</w:t>
            </w:r>
          </w:p>
        </w:tc>
      </w:tr>
      <w:tr w:rsidR="00DD1501" w:rsidRPr="00DD1501" w14:paraId="77E3DE8B" w14:textId="77777777" w:rsidTr="00DD1501">
        <w:trPr>
          <w:trHeight w:hRule="exact" w:val="397"/>
          <w:jc w:val="center"/>
        </w:trPr>
        <w:tc>
          <w:tcPr>
            <w:tcW w:w="1184" w:type="dxa"/>
          </w:tcPr>
          <w:p w14:paraId="3CF857C3"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ADQS</w:t>
            </w:r>
          </w:p>
        </w:tc>
        <w:tc>
          <w:tcPr>
            <w:tcW w:w="1472" w:type="dxa"/>
          </w:tcPr>
          <w:p w14:paraId="1E4BADD5"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-0.005</w:t>
            </w:r>
          </w:p>
        </w:tc>
        <w:tc>
          <w:tcPr>
            <w:tcW w:w="1149" w:type="dxa"/>
          </w:tcPr>
          <w:p w14:paraId="58587D9F"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0.002</w:t>
            </w:r>
          </w:p>
        </w:tc>
        <w:tc>
          <w:tcPr>
            <w:tcW w:w="1437" w:type="dxa"/>
          </w:tcPr>
          <w:p w14:paraId="55D83445"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-0.134</w:t>
            </w:r>
          </w:p>
        </w:tc>
        <w:tc>
          <w:tcPr>
            <w:tcW w:w="1068" w:type="dxa"/>
          </w:tcPr>
          <w:p w14:paraId="625A3067"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-1.910</w:t>
            </w:r>
          </w:p>
        </w:tc>
        <w:tc>
          <w:tcPr>
            <w:tcW w:w="1084" w:type="dxa"/>
          </w:tcPr>
          <w:p w14:paraId="38FFCA7E"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0.059</w:t>
            </w:r>
          </w:p>
        </w:tc>
        <w:tc>
          <w:tcPr>
            <w:tcW w:w="1036" w:type="dxa"/>
          </w:tcPr>
          <w:p w14:paraId="48080CE7"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7.925</w:t>
            </w:r>
          </w:p>
        </w:tc>
      </w:tr>
      <w:tr w:rsidR="00DD1501" w:rsidRPr="00DD1501" w14:paraId="24E27EE8" w14:textId="77777777" w:rsidTr="00DD1501">
        <w:trPr>
          <w:trHeight w:hRule="exact" w:val="397"/>
          <w:jc w:val="center"/>
        </w:trPr>
        <w:tc>
          <w:tcPr>
            <w:tcW w:w="1184" w:type="dxa"/>
          </w:tcPr>
          <w:p w14:paraId="7BDD7886"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NEGS</w:t>
            </w:r>
          </w:p>
        </w:tc>
        <w:tc>
          <w:tcPr>
            <w:tcW w:w="1472" w:type="dxa"/>
          </w:tcPr>
          <w:p w14:paraId="7A659A99"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0.002</w:t>
            </w:r>
          </w:p>
        </w:tc>
        <w:tc>
          <w:tcPr>
            <w:tcW w:w="1149" w:type="dxa"/>
          </w:tcPr>
          <w:p w14:paraId="26E8CB68"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0.001</w:t>
            </w:r>
          </w:p>
        </w:tc>
        <w:tc>
          <w:tcPr>
            <w:tcW w:w="1437" w:type="dxa"/>
          </w:tcPr>
          <w:p w14:paraId="4BD016F1"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0.238</w:t>
            </w:r>
          </w:p>
        </w:tc>
        <w:tc>
          <w:tcPr>
            <w:tcW w:w="1068" w:type="dxa"/>
          </w:tcPr>
          <w:p w14:paraId="090D044E"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3.283</w:t>
            </w:r>
          </w:p>
        </w:tc>
        <w:tc>
          <w:tcPr>
            <w:tcW w:w="1084" w:type="dxa"/>
          </w:tcPr>
          <w:p w14:paraId="536AD543"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0.001</w:t>
            </w:r>
          </w:p>
        </w:tc>
        <w:tc>
          <w:tcPr>
            <w:tcW w:w="1036" w:type="dxa"/>
          </w:tcPr>
          <w:p w14:paraId="44845CA2"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10.465</w:t>
            </w:r>
          </w:p>
        </w:tc>
      </w:tr>
      <w:tr w:rsidR="00DD1501" w:rsidRPr="00DD1501" w14:paraId="204ABD25" w14:textId="77777777" w:rsidTr="00DD1501">
        <w:trPr>
          <w:trHeight w:hRule="exact" w:val="397"/>
          <w:jc w:val="center"/>
        </w:trPr>
        <w:tc>
          <w:tcPr>
            <w:tcW w:w="1184" w:type="dxa"/>
          </w:tcPr>
          <w:p w14:paraId="202B4BC5"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SOCI</w:t>
            </w:r>
          </w:p>
        </w:tc>
        <w:tc>
          <w:tcPr>
            <w:tcW w:w="1472" w:type="dxa"/>
          </w:tcPr>
          <w:p w14:paraId="380694F7"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5.898E-007</w:t>
            </w:r>
          </w:p>
        </w:tc>
        <w:tc>
          <w:tcPr>
            <w:tcW w:w="1149" w:type="dxa"/>
          </w:tcPr>
          <w:p w14:paraId="6F8D9DBF"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0.000</w:t>
            </w:r>
          </w:p>
        </w:tc>
        <w:tc>
          <w:tcPr>
            <w:tcW w:w="1437" w:type="dxa"/>
          </w:tcPr>
          <w:p w14:paraId="26E9964F"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0.024</w:t>
            </w:r>
          </w:p>
        </w:tc>
        <w:tc>
          <w:tcPr>
            <w:tcW w:w="1068" w:type="dxa"/>
          </w:tcPr>
          <w:p w14:paraId="6A381A28"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0.517</w:t>
            </w:r>
          </w:p>
        </w:tc>
        <w:tc>
          <w:tcPr>
            <w:tcW w:w="1084" w:type="dxa"/>
          </w:tcPr>
          <w:p w14:paraId="055058FC"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0.606</w:t>
            </w:r>
          </w:p>
        </w:tc>
        <w:tc>
          <w:tcPr>
            <w:tcW w:w="1036" w:type="dxa"/>
          </w:tcPr>
          <w:p w14:paraId="767276F6" w14:textId="77777777" w:rsidR="00DD1501" w:rsidRPr="00DD1501" w:rsidRDefault="00DD1501" w:rsidP="00DD1501">
            <w:pPr>
              <w:spacing w:before="120"/>
              <w:jc w:val="center"/>
              <w:rPr>
                <w:rFonts w:ascii="Times New Roman" w:hAnsi="Times New Roman" w:cs="Times New Roman"/>
                <w:b/>
                <w:sz w:val="18"/>
                <w:szCs w:val="18"/>
              </w:rPr>
            </w:pPr>
            <w:r w:rsidRPr="00DD1501">
              <w:rPr>
                <w:rFonts w:ascii="Times New Roman" w:hAnsi="Times New Roman" w:cs="Times New Roman"/>
                <w:sz w:val="18"/>
                <w:szCs w:val="18"/>
              </w:rPr>
              <w:t>34.620</w:t>
            </w:r>
          </w:p>
        </w:tc>
      </w:tr>
      <w:tr w:rsidR="00DD1501" w:rsidRPr="00DD1501" w14:paraId="75AC5D26" w14:textId="77777777" w:rsidTr="00DD1501">
        <w:trPr>
          <w:jc w:val="center"/>
        </w:trPr>
        <w:tc>
          <w:tcPr>
            <w:tcW w:w="8430" w:type="dxa"/>
            <w:gridSpan w:val="7"/>
          </w:tcPr>
          <w:p w14:paraId="6E46FEFE" w14:textId="77777777" w:rsidR="00DD1501" w:rsidRPr="00DD1501" w:rsidRDefault="00DD1501" w:rsidP="00DD1501">
            <w:pPr>
              <w:spacing w:before="60" w:line="240" w:lineRule="auto"/>
              <w:rPr>
                <w:rFonts w:ascii="Times New Roman" w:hAnsi="Times New Roman" w:cs="Times New Roman"/>
                <w:sz w:val="18"/>
                <w:szCs w:val="18"/>
              </w:rPr>
            </w:pPr>
            <w:r w:rsidRPr="00DD1501">
              <w:rPr>
                <w:rFonts w:ascii="Times New Roman" w:hAnsi="Times New Roman" w:cs="Times New Roman"/>
                <w:sz w:val="18"/>
                <w:szCs w:val="18"/>
              </w:rPr>
              <w:t>R</w:t>
            </w:r>
            <w:r w:rsidRPr="00DD1501">
              <w:rPr>
                <w:rFonts w:ascii="Times New Roman" w:hAnsi="Times New Roman" w:cs="Times New Roman"/>
                <w:sz w:val="18"/>
                <w:szCs w:val="18"/>
                <w:vertAlign w:val="superscript"/>
              </w:rPr>
              <w:t xml:space="preserve">2 </w:t>
            </w:r>
            <w:r w:rsidRPr="00DD1501">
              <w:rPr>
                <w:rFonts w:ascii="Times New Roman" w:hAnsi="Times New Roman" w:cs="Times New Roman"/>
                <w:sz w:val="18"/>
                <w:szCs w:val="18"/>
              </w:rPr>
              <w:t>= 0.844</w:t>
            </w:r>
          </w:p>
          <w:p w14:paraId="34B14C36" w14:textId="77777777" w:rsidR="00DD1501" w:rsidRPr="00DD1501" w:rsidRDefault="00DD1501" w:rsidP="00DD1501">
            <w:pPr>
              <w:spacing w:before="60" w:line="240" w:lineRule="auto"/>
              <w:rPr>
                <w:rFonts w:ascii="Times New Roman" w:hAnsi="Times New Roman" w:cs="Times New Roman"/>
                <w:sz w:val="18"/>
                <w:szCs w:val="18"/>
              </w:rPr>
            </w:pPr>
            <w:r w:rsidRPr="00DD1501">
              <w:rPr>
                <w:rFonts w:ascii="Times New Roman" w:hAnsi="Times New Roman" w:cs="Times New Roman"/>
                <w:sz w:val="18"/>
                <w:szCs w:val="18"/>
              </w:rPr>
              <w:t>Adjusted R</w:t>
            </w:r>
            <w:r w:rsidRPr="00DD1501">
              <w:rPr>
                <w:rFonts w:ascii="Times New Roman" w:hAnsi="Times New Roman" w:cs="Times New Roman"/>
                <w:sz w:val="18"/>
                <w:szCs w:val="18"/>
                <w:vertAlign w:val="superscript"/>
              </w:rPr>
              <w:t xml:space="preserve">2 </w:t>
            </w:r>
            <w:r w:rsidRPr="00DD1501">
              <w:rPr>
                <w:rFonts w:ascii="Times New Roman" w:hAnsi="Times New Roman" w:cs="Times New Roman"/>
                <w:sz w:val="18"/>
                <w:szCs w:val="18"/>
              </w:rPr>
              <w:t>= 0.828</w:t>
            </w:r>
          </w:p>
          <w:p w14:paraId="10C589DD" w14:textId="77777777" w:rsidR="00DD1501" w:rsidRPr="00DD1501" w:rsidRDefault="00DD1501" w:rsidP="00DD1501">
            <w:pPr>
              <w:spacing w:before="60" w:line="240" w:lineRule="auto"/>
              <w:rPr>
                <w:rFonts w:ascii="Times New Roman" w:hAnsi="Times New Roman" w:cs="Times New Roman"/>
                <w:sz w:val="18"/>
                <w:szCs w:val="18"/>
              </w:rPr>
            </w:pPr>
            <w:r w:rsidRPr="00DD1501">
              <w:rPr>
                <w:rFonts w:ascii="Times New Roman" w:hAnsi="Times New Roman" w:cs="Times New Roman"/>
                <w:i/>
                <w:sz w:val="18"/>
                <w:szCs w:val="18"/>
              </w:rPr>
              <w:t>F</w:t>
            </w:r>
            <w:r w:rsidRPr="00DD1501">
              <w:rPr>
                <w:rFonts w:ascii="Times New Roman" w:hAnsi="Times New Roman" w:cs="Times New Roman"/>
                <w:sz w:val="18"/>
                <w:szCs w:val="18"/>
              </w:rPr>
              <w:t xml:space="preserve"> = 51.378 (</w:t>
            </w:r>
            <w:r w:rsidRPr="00DD1501">
              <w:rPr>
                <w:rFonts w:ascii="Times New Roman" w:hAnsi="Times New Roman" w:cs="Times New Roman"/>
                <w:i/>
                <w:sz w:val="18"/>
                <w:szCs w:val="18"/>
              </w:rPr>
              <w:t>p&lt;</w:t>
            </w:r>
            <w:r w:rsidRPr="00DD1501">
              <w:rPr>
                <w:rFonts w:ascii="Times New Roman" w:hAnsi="Times New Roman" w:cs="Times New Roman"/>
                <w:sz w:val="18"/>
                <w:szCs w:val="18"/>
              </w:rPr>
              <w:t>0.000)</w:t>
            </w:r>
          </w:p>
          <w:p w14:paraId="05469963" w14:textId="77777777" w:rsidR="00DD1501" w:rsidRPr="00DD1501" w:rsidRDefault="00DD1501" w:rsidP="00DD1501">
            <w:pPr>
              <w:spacing w:before="60" w:line="240" w:lineRule="auto"/>
              <w:rPr>
                <w:rFonts w:ascii="Times New Roman" w:hAnsi="Times New Roman" w:cs="Times New Roman"/>
                <w:sz w:val="18"/>
                <w:szCs w:val="18"/>
              </w:rPr>
            </w:pPr>
            <w:r w:rsidRPr="00DD1501">
              <w:rPr>
                <w:rFonts w:ascii="Times New Roman" w:hAnsi="Times New Roman" w:cs="Times New Roman"/>
                <w:sz w:val="18"/>
                <w:szCs w:val="18"/>
              </w:rPr>
              <w:t>Kolmogorov-Smirnov normality test (</w:t>
            </w:r>
            <w:proofErr w:type="spellStart"/>
            <w:r w:rsidRPr="00DD1501">
              <w:rPr>
                <w:rFonts w:ascii="Times New Roman" w:hAnsi="Times New Roman" w:cs="Times New Roman"/>
                <w:sz w:val="18"/>
                <w:szCs w:val="18"/>
              </w:rPr>
              <w:t>Lilliefors</w:t>
            </w:r>
            <w:proofErr w:type="spellEnd"/>
            <w:r w:rsidRPr="00DD1501">
              <w:rPr>
                <w:rFonts w:ascii="Times New Roman" w:hAnsi="Times New Roman" w:cs="Times New Roman"/>
                <w:sz w:val="18"/>
                <w:szCs w:val="18"/>
              </w:rPr>
              <w:t xml:space="preserve"> significance correction): </w:t>
            </w:r>
            <w:r w:rsidRPr="00DD1501">
              <w:rPr>
                <w:rFonts w:ascii="Times New Roman" w:hAnsi="Times New Roman" w:cs="Times New Roman"/>
                <w:i/>
                <w:sz w:val="18"/>
                <w:szCs w:val="18"/>
              </w:rPr>
              <w:t xml:space="preserve">F = </w:t>
            </w:r>
            <w:r w:rsidRPr="00DD1501">
              <w:rPr>
                <w:rFonts w:ascii="Times New Roman" w:hAnsi="Times New Roman" w:cs="Times New Roman"/>
                <w:sz w:val="18"/>
                <w:szCs w:val="18"/>
              </w:rPr>
              <w:t>0.052 (</w:t>
            </w:r>
            <w:r w:rsidRPr="00DD1501">
              <w:rPr>
                <w:rFonts w:ascii="Times New Roman" w:hAnsi="Times New Roman" w:cs="Times New Roman"/>
                <w:i/>
                <w:sz w:val="18"/>
                <w:szCs w:val="18"/>
              </w:rPr>
              <w:t>p</w:t>
            </w:r>
            <w:r w:rsidRPr="00DD1501">
              <w:rPr>
                <w:rFonts w:ascii="Times New Roman" w:hAnsi="Times New Roman" w:cs="Times New Roman"/>
                <w:sz w:val="18"/>
                <w:szCs w:val="18"/>
              </w:rPr>
              <w:t xml:space="preserve"> = 0.200)</w:t>
            </w:r>
          </w:p>
          <w:p w14:paraId="007723FD" w14:textId="77777777" w:rsidR="00DD1501" w:rsidRPr="00DD1501" w:rsidRDefault="00DD1501" w:rsidP="00DD1501">
            <w:pPr>
              <w:spacing w:before="60" w:line="240" w:lineRule="auto"/>
              <w:rPr>
                <w:rFonts w:ascii="Times New Roman" w:hAnsi="Times New Roman" w:cs="Times New Roman"/>
                <w:sz w:val="18"/>
                <w:szCs w:val="18"/>
              </w:rPr>
            </w:pPr>
            <w:r w:rsidRPr="00DD1501">
              <w:rPr>
                <w:rFonts w:ascii="Times New Roman" w:hAnsi="Times New Roman" w:cs="Times New Roman"/>
                <w:sz w:val="18"/>
                <w:szCs w:val="18"/>
              </w:rPr>
              <w:t>Shapiro-</w:t>
            </w:r>
            <w:proofErr w:type="spellStart"/>
            <w:r w:rsidRPr="00DD1501">
              <w:rPr>
                <w:rFonts w:ascii="Times New Roman" w:hAnsi="Times New Roman" w:cs="Times New Roman"/>
                <w:sz w:val="18"/>
                <w:szCs w:val="18"/>
              </w:rPr>
              <w:t>Wilk</w:t>
            </w:r>
            <w:proofErr w:type="spellEnd"/>
            <w:r w:rsidRPr="00DD1501">
              <w:rPr>
                <w:rFonts w:ascii="Times New Roman" w:hAnsi="Times New Roman" w:cs="Times New Roman"/>
                <w:sz w:val="18"/>
                <w:szCs w:val="18"/>
              </w:rPr>
              <w:t xml:space="preserve"> normality test: </w:t>
            </w:r>
            <w:r w:rsidRPr="00DD1501">
              <w:rPr>
                <w:rFonts w:ascii="Times New Roman" w:hAnsi="Times New Roman" w:cs="Times New Roman"/>
                <w:i/>
                <w:sz w:val="18"/>
                <w:szCs w:val="18"/>
              </w:rPr>
              <w:t>F</w:t>
            </w:r>
            <w:r w:rsidRPr="00DD1501">
              <w:rPr>
                <w:rFonts w:ascii="Times New Roman" w:hAnsi="Times New Roman" w:cs="Times New Roman"/>
                <w:sz w:val="18"/>
                <w:szCs w:val="18"/>
              </w:rPr>
              <w:t xml:space="preserve"> = 0.985 (</w:t>
            </w:r>
            <w:r w:rsidRPr="00DD1501">
              <w:rPr>
                <w:rFonts w:ascii="Times New Roman" w:hAnsi="Times New Roman" w:cs="Times New Roman"/>
                <w:i/>
                <w:sz w:val="18"/>
                <w:szCs w:val="18"/>
              </w:rPr>
              <w:t>p</w:t>
            </w:r>
            <w:r w:rsidRPr="00DD1501">
              <w:rPr>
                <w:rFonts w:ascii="Times New Roman" w:hAnsi="Times New Roman" w:cs="Times New Roman"/>
                <w:sz w:val="18"/>
                <w:szCs w:val="18"/>
              </w:rPr>
              <w:t xml:space="preserve"> = 0.261)</w:t>
            </w:r>
          </w:p>
        </w:tc>
      </w:tr>
    </w:tbl>
    <w:p w14:paraId="7C8F30BB" w14:textId="77777777" w:rsidR="00DD1501" w:rsidRDefault="00DD1501" w:rsidP="00A7635D">
      <w:pPr>
        <w:rPr>
          <w:lang w:val="es-ES"/>
        </w:rPr>
      </w:pPr>
    </w:p>
    <w:p w14:paraId="6EB35C8D" w14:textId="77777777" w:rsidR="00DD1501" w:rsidRDefault="00DD1501" w:rsidP="00A7635D">
      <w:pPr>
        <w:rPr>
          <w:lang w:val="es-ES"/>
        </w:rPr>
      </w:pPr>
    </w:p>
    <w:p w14:paraId="491DB416" w14:textId="77777777" w:rsidR="00DD1501" w:rsidRDefault="00DD1501" w:rsidP="00DD1501">
      <w:pPr>
        <w:spacing w:before="120"/>
        <w:jc w:val="center"/>
        <w:rPr>
          <w:b/>
          <w:sz w:val="18"/>
          <w:szCs w:val="18"/>
        </w:rPr>
      </w:pPr>
    </w:p>
    <w:p w14:paraId="13929DFD" w14:textId="7AC3BF42" w:rsidR="00DD1501" w:rsidRPr="008B347A" w:rsidRDefault="00DD1501" w:rsidP="00DD1501">
      <w:pPr>
        <w:spacing w:before="120"/>
        <w:jc w:val="center"/>
        <w:rPr>
          <w:b/>
          <w:sz w:val="18"/>
          <w:szCs w:val="18"/>
          <w:lang w:val="es-ES"/>
        </w:rPr>
      </w:pPr>
      <w:r w:rsidRPr="008B347A">
        <w:rPr>
          <w:b/>
          <w:sz w:val="18"/>
          <w:szCs w:val="18"/>
          <w:lang w:val="es-ES"/>
        </w:rPr>
        <w:t>Tabla 3. Coeficientes de regresión para el modelo DEUDA l/p.</w:t>
      </w:r>
    </w:p>
    <w:tbl>
      <w:tblPr>
        <w:tblStyle w:val="Tablaconcuadrcula"/>
        <w:tblW w:w="0" w:type="auto"/>
        <w:tblInd w:w="284" w:type="dxa"/>
        <w:tblLook w:val="04A0" w:firstRow="1" w:lastRow="0" w:firstColumn="1" w:lastColumn="0" w:noHBand="0" w:noVBand="1"/>
      </w:tblPr>
      <w:tblGrid>
        <w:gridCol w:w="1193"/>
        <w:gridCol w:w="1477"/>
        <w:gridCol w:w="1180"/>
        <w:gridCol w:w="1277"/>
        <w:gridCol w:w="1124"/>
        <w:gridCol w:w="1135"/>
        <w:gridCol w:w="1044"/>
      </w:tblGrid>
      <w:tr w:rsidR="00DD1501" w:rsidRPr="00DD1501" w14:paraId="0D359302" w14:textId="77777777" w:rsidTr="00DD1501">
        <w:tc>
          <w:tcPr>
            <w:tcW w:w="1193" w:type="dxa"/>
          </w:tcPr>
          <w:p w14:paraId="2B95C194" w14:textId="77777777" w:rsidR="00DD1501" w:rsidRPr="008B347A" w:rsidRDefault="00DD1501" w:rsidP="00DD1501">
            <w:pPr>
              <w:spacing w:before="120"/>
              <w:jc w:val="center"/>
              <w:rPr>
                <w:rFonts w:ascii="Times New Roman" w:hAnsi="Times New Roman" w:cs="Times New Roman"/>
                <w:sz w:val="18"/>
                <w:szCs w:val="18"/>
                <w:lang w:val="es-ES"/>
              </w:rPr>
            </w:pPr>
          </w:p>
        </w:tc>
        <w:tc>
          <w:tcPr>
            <w:tcW w:w="1477" w:type="dxa"/>
          </w:tcPr>
          <w:p w14:paraId="2B300942" w14:textId="77777777" w:rsidR="00DD1501" w:rsidRPr="00DD1501" w:rsidRDefault="00DD1501" w:rsidP="00DD1501">
            <w:pPr>
              <w:spacing w:before="120"/>
              <w:rPr>
                <w:rFonts w:ascii="Times New Roman" w:hAnsi="Times New Roman" w:cs="Times New Roman"/>
                <w:sz w:val="18"/>
                <w:szCs w:val="18"/>
              </w:rPr>
            </w:pPr>
            <w:proofErr w:type="spellStart"/>
            <w:r w:rsidRPr="00DD1501">
              <w:rPr>
                <w:rFonts w:ascii="Times New Roman" w:hAnsi="Times New Roman" w:cs="Times New Roman"/>
                <w:sz w:val="18"/>
                <w:szCs w:val="18"/>
              </w:rPr>
              <w:t>Coeficientes</w:t>
            </w:r>
            <w:proofErr w:type="spellEnd"/>
            <w:r w:rsidRPr="00DD1501">
              <w:rPr>
                <w:rFonts w:ascii="Times New Roman" w:hAnsi="Times New Roman" w:cs="Times New Roman"/>
                <w:sz w:val="18"/>
                <w:szCs w:val="18"/>
              </w:rPr>
              <w:t xml:space="preserve"> no </w:t>
            </w:r>
            <w:proofErr w:type="spellStart"/>
            <w:r w:rsidRPr="00DD1501">
              <w:rPr>
                <w:rFonts w:ascii="Times New Roman" w:hAnsi="Times New Roman" w:cs="Times New Roman"/>
                <w:sz w:val="18"/>
                <w:szCs w:val="18"/>
              </w:rPr>
              <w:t>estandarizados</w:t>
            </w:r>
            <w:proofErr w:type="spellEnd"/>
          </w:p>
        </w:tc>
        <w:tc>
          <w:tcPr>
            <w:tcW w:w="1180" w:type="dxa"/>
          </w:tcPr>
          <w:p w14:paraId="6CDFEF2F"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 xml:space="preserve">Error </w:t>
            </w:r>
            <w:proofErr w:type="spellStart"/>
            <w:r w:rsidRPr="00DD1501">
              <w:rPr>
                <w:rFonts w:ascii="Times New Roman" w:hAnsi="Times New Roman" w:cs="Times New Roman"/>
                <w:sz w:val="18"/>
                <w:szCs w:val="18"/>
              </w:rPr>
              <w:t>estándar</w:t>
            </w:r>
            <w:proofErr w:type="spellEnd"/>
          </w:p>
        </w:tc>
        <w:tc>
          <w:tcPr>
            <w:tcW w:w="1277" w:type="dxa"/>
          </w:tcPr>
          <w:p w14:paraId="65E7BF7B" w14:textId="77777777" w:rsidR="00DD1501" w:rsidRPr="00DD1501" w:rsidRDefault="00DD1501" w:rsidP="00DD1501">
            <w:pPr>
              <w:spacing w:before="120"/>
              <w:rPr>
                <w:rFonts w:ascii="Times New Roman" w:hAnsi="Times New Roman" w:cs="Times New Roman"/>
                <w:sz w:val="18"/>
                <w:szCs w:val="18"/>
              </w:rPr>
            </w:pPr>
            <w:proofErr w:type="spellStart"/>
            <w:r w:rsidRPr="00DD1501">
              <w:rPr>
                <w:rFonts w:ascii="Times New Roman" w:hAnsi="Times New Roman" w:cs="Times New Roman"/>
                <w:sz w:val="18"/>
                <w:szCs w:val="18"/>
              </w:rPr>
              <w:t>Coeficientes</w:t>
            </w:r>
            <w:proofErr w:type="spellEnd"/>
            <w:r w:rsidRPr="00DD1501">
              <w:rPr>
                <w:rFonts w:ascii="Times New Roman" w:hAnsi="Times New Roman" w:cs="Times New Roman"/>
                <w:sz w:val="18"/>
                <w:szCs w:val="18"/>
              </w:rPr>
              <w:t xml:space="preserve"> </w:t>
            </w:r>
            <w:proofErr w:type="spellStart"/>
            <w:r w:rsidRPr="00DD1501">
              <w:rPr>
                <w:rFonts w:ascii="Times New Roman" w:hAnsi="Times New Roman" w:cs="Times New Roman"/>
                <w:sz w:val="18"/>
                <w:szCs w:val="18"/>
              </w:rPr>
              <w:t>estandarizados</w:t>
            </w:r>
            <w:proofErr w:type="spellEnd"/>
          </w:p>
        </w:tc>
        <w:tc>
          <w:tcPr>
            <w:tcW w:w="1124" w:type="dxa"/>
          </w:tcPr>
          <w:p w14:paraId="06A9B09F"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i/>
                <w:sz w:val="18"/>
                <w:szCs w:val="18"/>
              </w:rPr>
              <w:t>t</w:t>
            </w:r>
            <w:r w:rsidRPr="00DD1501">
              <w:rPr>
                <w:rFonts w:ascii="Times New Roman" w:hAnsi="Times New Roman" w:cs="Times New Roman"/>
                <w:sz w:val="18"/>
                <w:szCs w:val="18"/>
              </w:rPr>
              <w:t>-value</w:t>
            </w:r>
          </w:p>
        </w:tc>
        <w:tc>
          <w:tcPr>
            <w:tcW w:w="1135" w:type="dxa"/>
          </w:tcPr>
          <w:p w14:paraId="36E97C8F"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i/>
                <w:sz w:val="18"/>
                <w:szCs w:val="18"/>
              </w:rPr>
              <w:t>P</w:t>
            </w:r>
            <w:r w:rsidRPr="00DD1501">
              <w:rPr>
                <w:rFonts w:ascii="Times New Roman" w:hAnsi="Times New Roman" w:cs="Times New Roman"/>
                <w:sz w:val="18"/>
                <w:szCs w:val="18"/>
              </w:rPr>
              <w:t xml:space="preserve"> (</w:t>
            </w:r>
            <w:r w:rsidRPr="00DD1501">
              <w:rPr>
                <w:rFonts w:ascii="Times New Roman" w:hAnsi="Times New Roman" w:cs="Times New Roman"/>
                <w:i/>
                <w:sz w:val="18"/>
                <w:szCs w:val="18"/>
              </w:rPr>
              <w:t>t</w:t>
            </w:r>
            <w:r w:rsidRPr="00DD1501">
              <w:rPr>
                <w:rFonts w:ascii="Times New Roman" w:hAnsi="Times New Roman" w:cs="Times New Roman"/>
                <w:sz w:val="18"/>
                <w:szCs w:val="18"/>
              </w:rPr>
              <w:t>-value)</w:t>
            </w:r>
          </w:p>
        </w:tc>
        <w:tc>
          <w:tcPr>
            <w:tcW w:w="1044" w:type="dxa"/>
          </w:tcPr>
          <w:p w14:paraId="365C47A7" w14:textId="77777777" w:rsidR="00DD1501" w:rsidRPr="00DD1501" w:rsidRDefault="00DD1501" w:rsidP="00DD1501">
            <w:pPr>
              <w:spacing w:before="120"/>
              <w:rPr>
                <w:rFonts w:ascii="Times New Roman" w:hAnsi="Times New Roman" w:cs="Times New Roman"/>
                <w:sz w:val="18"/>
                <w:szCs w:val="18"/>
              </w:rPr>
            </w:pPr>
            <w:proofErr w:type="spellStart"/>
            <w:r w:rsidRPr="00DD1501">
              <w:rPr>
                <w:rFonts w:ascii="Times New Roman" w:hAnsi="Times New Roman" w:cs="Times New Roman"/>
                <w:sz w:val="18"/>
                <w:szCs w:val="18"/>
              </w:rPr>
              <w:t>Índices</w:t>
            </w:r>
            <w:proofErr w:type="spellEnd"/>
            <w:r w:rsidRPr="00DD1501">
              <w:rPr>
                <w:rFonts w:ascii="Times New Roman" w:hAnsi="Times New Roman" w:cs="Times New Roman"/>
                <w:sz w:val="18"/>
                <w:szCs w:val="18"/>
              </w:rPr>
              <w:t xml:space="preserve"> </w:t>
            </w:r>
            <w:proofErr w:type="spellStart"/>
            <w:r w:rsidRPr="00DD1501">
              <w:rPr>
                <w:rFonts w:ascii="Times New Roman" w:hAnsi="Times New Roman" w:cs="Times New Roman"/>
                <w:sz w:val="18"/>
                <w:szCs w:val="18"/>
              </w:rPr>
              <w:t>condición</w:t>
            </w:r>
            <w:proofErr w:type="spellEnd"/>
          </w:p>
        </w:tc>
      </w:tr>
      <w:tr w:rsidR="00DD1501" w:rsidRPr="00DD1501" w14:paraId="4BAAA0D0" w14:textId="77777777" w:rsidTr="00DD1501">
        <w:trPr>
          <w:trHeight w:hRule="exact" w:val="397"/>
        </w:trPr>
        <w:tc>
          <w:tcPr>
            <w:tcW w:w="1193" w:type="dxa"/>
          </w:tcPr>
          <w:p w14:paraId="5B557630"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w:t>
            </w:r>
            <w:proofErr w:type="spellStart"/>
            <w:r w:rsidRPr="00DD1501">
              <w:rPr>
                <w:rFonts w:ascii="Times New Roman" w:hAnsi="Times New Roman" w:cs="Times New Roman"/>
                <w:sz w:val="18"/>
                <w:szCs w:val="18"/>
              </w:rPr>
              <w:t>constante</w:t>
            </w:r>
            <w:proofErr w:type="spellEnd"/>
            <w:r w:rsidRPr="00DD1501">
              <w:rPr>
                <w:rFonts w:ascii="Times New Roman" w:hAnsi="Times New Roman" w:cs="Times New Roman"/>
                <w:sz w:val="18"/>
                <w:szCs w:val="18"/>
              </w:rPr>
              <w:t>)</w:t>
            </w:r>
          </w:p>
        </w:tc>
        <w:tc>
          <w:tcPr>
            <w:tcW w:w="1477" w:type="dxa"/>
          </w:tcPr>
          <w:p w14:paraId="78A3EDB2"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0.255</w:t>
            </w:r>
          </w:p>
        </w:tc>
        <w:tc>
          <w:tcPr>
            <w:tcW w:w="1180" w:type="dxa"/>
          </w:tcPr>
          <w:p w14:paraId="43E2B2D6"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0.097</w:t>
            </w:r>
          </w:p>
        </w:tc>
        <w:tc>
          <w:tcPr>
            <w:tcW w:w="1277" w:type="dxa"/>
          </w:tcPr>
          <w:p w14:paraId="6AF3883E" w14:textId="77777777" w:rsidR="00DD1501" w:rsidRPr="00DD1501" w:rsidRDefault="00DD1501" w:rsidP="00DD1501">
            <w:pPr>
              <w:spacing w:before="120"/>
              <w:jc w:val="center"/>
              <w:rPr>
                <w:rFonts w:ascii="Times New Roman" w:hAnsi="Times New Roman" w:cs="Times New Roman"/>
                <w:sz w:val="18"/>
                <w:szCs w:val="18"/>
              </w:rPr>
            </w:pPr>
          </w:p>
        </w:tc>
        <w:tc>
          <w:tcPr>
            <w:tcW w:w="1124" w:type="dxa"/>
          </w:tcPr>
          <w:p w14:paraId="1BBE9DD3"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2.631</w:t>
            </w:r>
          </w:p>
        </w:tc>
        <w:tc>
          <w:tcPr>
            <w:tcW w:w="1135" w:type="dxa"/>
          </w:tcPr>
          <w:p w14:paraId="7AB95F52"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0.010</w:t>
            </w:r>
          </w:p>
        </w:tc>
        <w:tc>
          <w:tcPr>
            <w:tcW w:w="1044" w:type="dxa"/>
          </w:tcPr>
          <w:p w14:paraId="348ACB6B"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1.000</w:t>
            </w:r>
          </w:p>
        </w:tc>
      </w:tr>
      <w:tr w:rsidR="00DD1501" w:rsidRPr="00DD1501" w14:paraId="631D854A" w14:textId="77777777" w:rsidTr="00DD1501">
        <w:trPr>
          <w:trHeight w:hRule="exact" w:val="397"/>
        </w:trPr>
        <w:tc>
          <w:tcPr>
            <w:tcW w:w="1193" w:type="dxa"/>
          </w:tcPr>
          <w:p w14:paraId="6BE81657"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AMRT</w:t>
            </w:r>
          </w:p>
        </w:tc>
        <w:tc>
          <w:tcPr>
            <w:tcW w:w="1477" w:type="dxa"/>
          </w:tcPr>
          <w:p w14:paraId="41ADEC16"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1.134</w:t>
            </w:r>
          </w:p>
        </w:tc>
        <w:tc>
          <w:tcPr>
            <w:tcW w:w="1180" w:type="dxa"/>
          </w:tcPr>
          <w:p w14:paraId="4846D1CC"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0.261</w:t>
            </w:r>
          </w:p>
        </w:tc>
        <w:tc>
          <w:tcPr>
            <w:tcW w:w="1277" w:type="dxa"/>
          </w:tcPr>
          <w:p w14:paraId="5FEB55BA"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0.334</w:t>
            </w:r>
          </w:p>
        </w:tc>
        <w:tc>
          <w:tcPr>
            <w:tcW w:w="1124" w:type="dxa"/>
          </w:tcPr>
          <w:p w14:paraId="62449982"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4.340</w:t>
            </w:r>
          </w:p>
        </w:tc>
        <w:tc>
          <w:tcPr>
            <w:tcW w:w="1135" w:type="dxa"/>
          </w:tcPr>
          <w:p w14:paraId="7CC2015D"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0.000</w:t>
            </w:r>
          </w:p>
        </w:tc>
        <w:tc>
          <w:tcPr>
            <w:tcW w:w="1044" w:type="dxa"/>
          </w:tcPr>
          <w:p w14:paraId="39BB57A1"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2.174</w:t>
            </w:r>
          </w:p>
        </w:tc>
      </w:tr>
      <w:tr w:rsidR="00DD1501" w:rsidRPr="00DD1501" w14:paraId="3A96B86D" w14:textId="77777777" w:rsidTr="00DD1501">
        <w:trPr>
          <w:trHeight w:hRule="exact" w:val="397"/>
        </w:trPr>
        <w:tc>
          <w:tcPr>
            <w:tcW w:w="1193" w:type="dxa"/>
          </w:tcPr>
          <w:p w14:paraId="7E8F64DC"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AUTO</w:t>
            </w:r>
          </w:p>
        </w:tc>
        <w:tc>
          <w:tcPr>
            <w:tcW w:w="1477" w:type="dxa"/>
          </w:tcPr>
          <w:p w14:paraId="5E1D4B39"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-0.186</w:t>
            </w:r>
          </w:p>
        </w:tc>
        <w:tc>
          <w:tcPr>
            <w:tcW w:w="1180" w:type="dxa"/>
          </w:tcPr>
          <w:p w14:paraId="24DBBAED"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0.052</w:t>
            </w:r>
          </w:p>
        </w:tc>
        <w:tc>
          <w:tcPr>
            <w:tcW w:w="1277" w:type="dxa"/>
          </w:tcPr>
          <w:p w14:paraId="1C9EDB2F"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-0.321</w:t>
            </w:r>
          </w:p>
        </w:tc>
        <w:tc>
          <w:tcPr>
            <w:tcW w:w="1124" w:type="dxa"/>
          </w:tcPr>
          <w:p w14:paraId="154B5FAF"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-3.615</w:t>
            </w:r>
          </w:p>
        </w:tc>
        <w:tc>
          <w:tcPr>
            <w:tcW w:w="1135" w:type="dxa"/>
          </w:tcPr>
          <w:p w14:paraId="07A28C9A"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0.000</w:t>
            </w:r>
          </w:p>
        </w:tc>
        <w:tc>
          <w:tcPr>
            <w:tcW w:w="1044" w:type="dxa"/>
          </w:tcPr>
          <w:p w14:paraId="01F8A320"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2.442</w:t>
            </w:r>
          </w:p>
        </w:tc>
      </w:tr>
      <w:tr w:rsidR="00DD1501" w:rsidRPr="00DD1501" w14:paraId="75F1CE20" w14:textId="77777777" w:rsidTr="00DD1501">
        <w:trPr>
          <w:trHeight w:hRule="exact" w:val="397"/>
        </w:trPr>
        <w:tc>
          <w:tcPr>
            <w:tcW w:w="1193" w:type="dxa"/>
          </w:tcPr>
          <w:p w14:paraId="432DF11C"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COMA</w:t>
            </w:r>
          </w:p>
        </w:tc>
        <w:tc>
          <w:tcPr>
            <w:tcW w:w="1477" w:type="dxa"/>
          </w:tcPr>
          <w:p w14:paraId="5487A2E7"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0.306</w:t>
            </w:r>
          </w:p>
        </w:tc>
        <w:tc>
          <w:tcPr>
            <w:tcW w:w="1180" w:type="dxa"/>
          </w:tcPr>
          <w:p w14:paraId="728148B0"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0.059</w:t>
            </w:r>
          </w:p>
        </w:tc>
        <w:tc>
          <w:tcPr>
            <w:tcW w:w="1277" w:type="dxa"/>
          </w:tcPr>
          <w:p w14:paraId="64CE80CB"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0.458</w:t>
            </w:r>
          </w:p>
        </w:tc>
        <w:tc>
          <w:tcPr>
            <w:tcW w:w="1124" w:type="dxa"/>
          </w:tcPr>
          <w:p w14:paraId="612FEB7F"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5.218</w:t>
            </w:r>
          </w:p>
        </w:tc>
        <w:tc>
          <w:tcPr>
            <w:tcW w:w="1135" w:type="dxa"/>
          </w:tcPr>
          <w:p w14:paraId="066A5BBB"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0.000</w:t>
            </w:r>
          </w:p>
        </w:tc>
        <w:tc>
          <w:tcPr>
            <w:tcW w:w="1044" w:type="dxa"/>
          </w:tcPr>
          <w:p w14:paraId="394DBA53"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3.328</w:t>
            </w:r>
          </w:p>
        </w:tc>
      </w:tr>
      <w:tr w:rsidR="00DD1501" w:rsidRPr="00DD1501" w14:paraId="4D516F00" w14:textId="77777777" w:rsidTr="00DD1501">
        <w:trPr>
          <w:trHeight w:hRule="exact" w:val="397"/>
        </w:trPr>
        <w:tc>
          <w:tcPr>
            <w:tcW w:w="1193" w:type="dxa"/>
          </w:tcPr>
          <w:p w14:paraId="587DA8DF"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LIQ1</w:t>
            </w:r>
          </w:p>
        </w:tc>
        <w:tc>
          <w:tcPr>
            <w:tcW w:w="1477" w:type="dxa"/>
          </w:tcPr>
          <w:p w14:paraId="67C4479B"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-0.004</w:t>
            </w:r>
          </w:p>
        </w:tc>
        <w:tc>
          <w:tcPr>
            <w:tcW w:w="1180" w:type="dxa"/>
          </w:tcPr>
          <w:p w14:paraId="6FFBE1EB"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0.003</w:t>
            </w:r>
          </w:p>
        </w:tc>
        <w:tc>
          <w:tcPr>
            <w:tcW w:w="1277" w:type="dxa"/>
          </w:tcPr>
          <w:p w14:paraId="2D16E1B1"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-0.136</w:t>
            </w:r>
          </w:p>
        </w:tc>
        <w:tc>
          <w:tcPr>
            <w:tcW w:w="1124" w:type="dxa"/>
          </w:tcPr>
          <w:p w14:paraId="61DD1DBD"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-1.663</w:t>
            </w:r>
          </w:p>
        </w:tc>
        <w:tc>
          <w:tcPr>
            <w:tcW w:w="1135" w:type="dxa"/>
          </w:tcPr>
          <w:p w14:paraId="7ACABEB6"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0.100</w:t>
            </w:r>
          </w:p>
        </w:tc>
        <w:tc>
          <w:tcPr>
            <w:tcW w:w="1044" w:type="dxa"/>
          </w:tcPr>
          <w:p w14:paraId="4F035144"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3.565</w:t>
            </w:r>
          </w:p>
        </w:tc>
      </w:tr>
      <w:tr w:rsidR="00DD1501" w:rsidRPr="00DD1501" w14:paraId="635A94A0" w14:textId="77777777" w:rsidTr="00DD1501">
        <w:trPr>
          <w:trHeight w:hRule="exact" w:val="397"/>
        </w:trPr>
        <w:tc>
          <w:tcPr>
            <w:tcW w:w="1193" w:type="dxa"/>
          </w:tcPr>
          <w:p w14:paraId="481C2FE9"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LOGA</w:t>
            </w:r>
          </w:p>
        </w:tc>
        <w:tc>
          <w:tcPr>
            <w:tcW w:w="1477" w:type="dxa"/>
          </w:tcPr>
          <w:p w14:paraId="7C66E079"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-0.069</w:t>
            </w:r>
          </w:p>
        </w:tc>
        <w:tc>
          <w:tcPr>
            <w:tcW w:w="1180" w:type="dxa"/>
          </w:tcPr>
          <w:p w14:paraId="11BE7234"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0.025</w:t>
            </w:r>
          </w:p>
        </w:tc>
        <w:tc>
          <w:tcPr>
            <w:tcW w:w="1277" w:type="dxa"/>
          </w:tcPr>
          <w:p w14:paraId="522FEC43"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-0.234</w:t>
            </w:r>
          </w:p>
        </w:tc>
        <w:tc>
          <w:tcPr>
            <w:tcW w:w="1124" w:type="dxa"/>
          </w:tcPr>
          <w:p w14:paraId="1387A919"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-2.774</w:t>
            </w:r>
          </w:p>
        </w:tc>
        <w:tc>
          <w:tcPr>
            <w:tcW w:w="1135" w:type="dxa"/>
          </w:tcPr>
          <w:p w14:paraId="566EE6FE"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0.007</w:t>
            </w:r>
          </w:p>
        </w:tc>
        <w:tc>
          <w:tcPr>
            <w:tcW w:w="1044" w:type="dxa"/>
          </w:tcPr>
          <w:p w14:paraId="77A07FFA"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3.799</w:t>
            </w:r>
          </w:p>
        </w:tc>
      </w:tr>
      <w:tr w:rsidR="00DD1501" w:rsidRPr="00DD1501" w14:paraId="12FFBDC1" w14:textId="77777777" w:rsidTr="00DD1501">
        <w:trPr>
          <w:trHeight w:hRule="exact" w:val="397"/>
        </w:trPr>
        <w:tc>
          <w:tcPr>
            <w:tcW w:w="1193" w:type="dxa"/>
          </w:tcPr>
          <w:p w14:paraId="2504B33D"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NEGS</w:t>
            </w:r>
          </w:p>
        </w:tc>
        <w:tc>
          <w:tcPr>
            <w:tcW w:w="1477" w:type="dxa"/>
          </w:tcPr>
          <w:p w14:paraId="405D0154"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0.001</w:t>
            </w:r>
          </w:p>
        </w:tc>
        <w:tc>
          <w:tcPr>
            <w:tcW w:w="1180" w:type="dxa"/>
          </w:tcPr>
          <w:p w14:paraId="4B08C902"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0.001</w:t>
            </w:r>
          </w:p>
        </w:tc>
        <w:tc>
          <w:tcPr>
            <w:tcW w:w="1277" w:type="dxa"/>
          </w:tcPr>
          <w:p w14:paraId="2B14353C"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0.157</w:t>
            </w:r>
          </w:p>
        </w:tc>
        <w:tc>
          <w:tcPr>
            <w:tcW w:w="1124" w:type="dxa"/>
          </w:tcPr>
          <w:p w14:paraId="414AFAAA"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1.228</w:t>
            </w:r>
          </w:p>
        </w:tc>
        <w:tc>
          <w:tcPr>
            <w:tcW w:w="1135" w:type="dxa"/>
          </w:tcPr>
          <w:p w14:paraId="747F2A9D"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0.222</w:t>
            </w:r>
          </w:p>
        </w:tc>
        <w:tc>
          <w:tcPr>
            <w:tcW w:w="1044" w:type="dxa"/>
          </w:tcPr>
          <w:p w14:paraId="4D92C797"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5.117</w:t>
            </w:r>
          </w:p>
        </w:tc>
      </w:tr>
      <w:tr w:rsidR="00DD1501" w:rsidRPr="00DD1501" w14:paraId="311E0630" w14:textId="77777777" w:rsidTr="00DD1501">
        <w:trPr>
          <w:trHeight w:hRule="exact" w:val="397"/>
        </w:trPr>
        <w:tc>
          <w:tcPr>
            <w:tcW w:w="1193" w:type="dxa"/>
          </w:tcPr>
          <w:p w14:paraId="781F5D0B"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ROTA</w:t>
            </w:r>
          </w:p>
        </w:tc>
        <w:tc>
          <w:tcPr>
            <w:tcW w:w="1477" w:type="dxa"/>
          </w:tcPr>
          <w:p w14:paraId="66415738"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0.030</w:t>
            </w:r>
          </w:p>
        </w:tc>
        <w:tc>
          <w:tcPr>
            <w:tcW w:w="1180" w:type="dxa"/>
          </w:tcPr>
          <w:p w14:paraId="73BBF2A8"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0.013</w:t>
            </w:r>
          </w:p>
        </w:tc>
        <w:tc>
          <w:tcPr>
            <w:tcW w:w="1277" w:type="dxa"/>
          </w:tcPr>
          <w:p w14:paraId="0C5905C7"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0.206</w:t>
            </w:r>
          </w:p>
        </w:tc>
        <w:tc>
          <w:tcPr>
            <w:tcW w:w="1124" w:type="dxa"/>
          </w:tcPr>
          <w:p w14:paraId="4E3F68C0"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2.407</w:t>
            </w:r>
          </w:p>
        </w:tc>
        <w:tc>
          <w:tcPr>
            <w:tcW w:w="1135" w:type="dxa"/>
          </w:tcPr>
          <w:p w14:paraId="71A27633"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0.018</w:t>
            </w:r>
          </w:p>
        </w:tc>
        <w:tc>
          <w:tcPr>
            <w:tcW w:w="1044" w:type="dxa"/>
          </w:tcPr>
          <w:p w14:paraId="009D6450"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6.581</w:t>
            </w:r>
          </w:p>
        </w:tc>
      </w:tr>
      <w:tr w:rsidR="00DD1501" w:rsidRPr="00DD1501" w14:paraId="78DA2813" w14:textId="77777777" w:rsidTr="00DD1501">
        <w:trPr>
          <w:trHeight w:hRule="exact" w:val="397"/>
        </w:trPr>
        <w:tc>
          <w:tcPr>
            <w:tcW w:w="1193" w:type="dxa"/>
          </w:tcPr>
          <w:p w14:paraId="67E030F5"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LIQ2</w:t>
            </w:r>
          </w:p>
        </w:tc>
        <w:tc>
          <w:tcPr>
            <w:tcW w:w="1477" w:type="dxa"/>
          </w:tcPr>
          <w:p w14:paraId="1EC32453"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-0.003</w:t>
            </w:r>
          </w:p>
        </w:tc>
        <w:tc>
          <w:tcPr>
            <w:tcW w:w="1180" w:type="dxa"/>
          </w:tcPr>
          <w:p w14:paraId="3F5542F1"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0.099</w:t>
            </w:r>
          </w:p>
        </w:tc>
        <w:tc>
          <w:tcPr>
            <w:tcW w:w="1277" w:type="dxa"/>
          </w:tcPr>
          <w:p w14:paraId="44F5F9A2"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-0.003</w:t>
            </w:r>
          </w:p>
        </w:tc>
        <w:tc>
          <w:tcPr>
            <w:tcW w:w="1124" w:type="dxa"/>
          </w:tcPr>
          <w:p w14:paraId="2B768CC7"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-0.035</w:t>
            </w:r>
          </w:p>
        </w:tc>
        <w:tc>
          <w:tcPr>
            <w:tcW w:w="1135" w:type="dxa"/>
          </w:tcPr>
          <w:p w14:paraId="7E03685C"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0.972</w:t>
            </w:r>
          </w:p>
        </w:tc>
        <w:tc>
          <w:tcPr>
            <w:tcW w:w="1044" w:type="dxa"/>
          </w:tcPr>
          <w:p w14:paraId="63C788DB"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7.925</w:t>
            </w:r>
          </w:p>
        </w:tc>
      </w:tr>
      <w:tr w:rsidR="00DD1501" w:rsidRPr="00DD1501" w14:paraId="42564815" w14:textId="77777777" w:rsidTr="00DD1501">
        <w:trPr>
          <w:trHeight w:hRule="exact" w:val="397"/>
        </w:trPr>
        <w:tc>
          <w:tcPr>
            <w:tcW w:w="1193" w:type="dxa"/>
          </w:tcPr>
          <w:p w14:paraId="64405E08"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SOCI</w:t>
            </w:r>
          </w:p>
        </w:tc>
        <w:tc>
          <w:tcPr>
            <w:tcW w:w="1477" w:type="dxa"/>
          </w:tcPr>
          <w:p w14:paraId="14643FF0"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0.000</w:t>
            </w:r>
          </w:p>
        </w:tc>
        <w:tc>
          <w:tcPr>
            <w:tcW w:w="1180" w:type="dxa"/>
          </w:tcPr>
          <w:p w14:paraId="64F5844C"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0.000</w:t>
            </w:r>
          </w:p>
        </w:tc>
        <w:tc>
          <w:tcPr>
            <w:tcW w:w="1277" w:type="dxa"/>
          </w:tcPr>
          <w:p w14:paraId="39E13499"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-0.053</w:t>
            </w:r>
          </w:p>
        </w:tc>
        <w:tc>
          <w:tcPr>
            <w:tcW w:w="1124" w:type="dxa"/>
          </w:tcPr>
          <w:p w14:paraId="0FAB9505"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-0.653</w:t>
            </w:r>
          </w:p>
        </w:tc>
        <w:tc>
          <w:tcPr>
            <w:tcW w:w="1135" w:type="dxa"/>
          </w:tcPr>
          <w:p w14:paraId="4480A693"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0.515</w:t>
            </w:r>
          </w:p>
        </w:tc>
        <w:tc>
          <w:tcPr>
            <w:tcW w:w="1044" w:type="dxa"/>
          </w:tcPr>
          <w:p w14:paraId="1683335E"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10.465</w:t>
            </w:r>
          </w:p>
        </w:tc>
      </w:tr>
      <w:tr w:rsidR="00DD1501" w:rsidRPr="00DD1501" w14:paraId="69C4D444" w14:textId="77777777" w:rsidTr="00DD1501">
        <w:trPr>
          <w:trHeight w:hRule="exact" w:val="397"/>
        </w:trPr>
        <w:tc>
          <w:tcPr>
            <w:tcW w:w="1193" w:type="dxa"/>
          </w:tcPr>
          <w:p w14:paraId="03182A8B" w14:textId="77777777" w:rsidR="00DD1501" w:rsidRPr="00DD1501" w:rsidRDefault="00DD1501" w:rsidP="00DD1501">
            <w:pPr>
              <w:spacing w:before="120"/>
              <w:rPr>
                <w:rFonts w:ascii="Times New Roman" w:hAnsi="Times New Roman" w:cs="Times New Roman"/>
                <w:sz w:val="18"/>
                <w:szCs w:val="18"/>
              </w:rPr>
            </w:pPr>
            <w:r w:rsidRPr="00DD1501">
              <w:rPr>
                <w:rFonts w:ascii="Times New Roman" w:hAnsi="Times New Roman" w:cs="Times New Roman"/>
                <w:sz w:val="18"/>
                <w:szCs w:val="18"/>
              </w:rPr>
              <w:t>ADQS</w:t>
            </w:r>
          </w:p>
        </w:tc>
        <w:tc>
          <w:tcPr>
            <w:tcW w:w="1477" w:type="dxa"/>
          </w:tcPr>
          <w:p w14:paraId="5124D2F6"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-0.001</w:t>
            </w:r>
          </w:p>
        </w:tc>
        <w:tc>
          <w:tcPr>
            <w:tcW w:w="1180" w:type="dxa"/>
          </w:tcPr>
          <w:p w14:paraId="0CBE179E"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0.002</w:t>
            </w:r>
          </w:p>
        </w:tc>
        <w:tc>
          <w:tcPr>
            <w:tcW w:w="1277" w:type="dxa"/>
          </w:tcPr>
          <w:p w14:paraId="739CB042"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-0.033</w:t>
            </w:r>
          </w:p>
        </w:tc>
        <w:tc>
          <w:tcPr>
            <w:tcW w:w="1124" w:type="dxa"/>
          </w:tcPr>
          <w:p w14:paraId="5D22C617"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-0.268</w:t>
            </w:r>
          </w:p>
        </w:tc>
        <w:tc>
          <w:tcPr>
            <w:tcW w:w="1135" w:type="dxa"/>
          </w:tcPr>
          <w:p w14:paraId="1A1652C6"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0.789</w:t>
            </w:r>
          </w:p>
        </w:tc>
        <w:tc>
          <w:tcPr>
            <w:tcW w:w="1044" w:type="dxa"/>
          </w:tcPr>
          <w:p w14:paraId="6572376A" w14:textId="77777777" w:rsidR="00DD1501" w:rsidRPr="00DD1501" w:rsidRDefault="00DD1501" w:rsidP="00DD1501">
            <w:pPr>
              <w:spacing w:before="120"/>
              <w:jc w:val="center"/>
              <w:rPr>
                <w:rFonts w:ascii="Times New Roman" w:hAnsi="Times New Roman" w:cs="Times New Roman"/>
                <w:sz w:val="18"/>
                <w:szCs w:val="18"/>
              </w:rPr>
            </w:pPr>
            <w:r w:rsidRPr="00DD1501">
              <w:rPr>
                <w:rFonts w:ascii="Times New Roman" w:hAnsi="Times New Roman" w:cs="Times New Roman"/>
                <w:sz w:val="18"/>
                <w:szCs w:val="18"/>
              </w:rPr>
              <w:t>34.620</w:t>
            </w:r>
          </w:p>
        </w:tc>
      </w:tr>
      <w:tr w:rsidR="00DD1501" w:rsidRPr="00DD1501" w14:paraId="7414CF56" w14:textId="77777777" w:rsidTr="00DD1501">
        <w:tc>
          <w:tcPr>
            <w:tcW w:w="8430" w:type="dxa"/>
            <w:gridSpan w:val="7"/>
          </w:tcPr>
          <w:p w14:paraId="3F103116" w14:textId="77777777" w:rsidR="00DD1501" w:rsidRPr="00DD1501" w:rsidRDefault="00DD1501" w:rsidP="00DD1501">
            <w:pPr>
              <w:spacing w:before="60" w:line="240" w:lineRule="auto"/>
              <w:rPr>
                <w:rFonts w:ascii="Times New Roman" w:hAnsi="Times New Roman" w:cs="Times New Roman"/>
                <w:sz w:val="18"/>
                <w:szCs w:val="18"/>
              </w:rPr>
            </w:pPr>
            <w:r w:rsidRPr="00DD1501">
              <w:rPr>
                <w:rFonts w:ascii="Times New Roman" w:hAnsi="Times New Roman" w:cs="Times New Roman"/>
                <w:sz w:val="18"/>
                <w:szCs w:val="18"/>
              </w:rPr>
              <w:t>R</w:t>
            </w:r>
            <w:r w:rsidRPr="00DD1501">
              <w:rPr>
                <w:rFonts w:ascii="Times New Roman" w:hAnsi="Times New Roman" w:cs="Times New Roman"/>
                <w:sz w:val="18"/>
                <w:szCs w:val="18"/>
                <w:vertAlign w:val="superscript"/>
              </w:rPr>
              <w:t xml:space="preserve">2 </w:t>
            </w:r>
            <w:r w:rsidRPr="00DD1501">
              <w:rPr>
                <w:rFonts w:ascii="Times New Roman" w:hAnsi="Times New Roman" w:cs="Times New Roman"/>
                <w:sz w:val="18"/>
                <w:szCs w:val="18"/>
              </w:rPr>
              <w:t>= 0.515</w:t>
            </w:r>
          </w:p>
          <w:p w14:paraId="6B37E08C" w14:textId="77777777" w:rsidR="00DD1501" w:rsidRPr="00DD1501" w:rsidRDefault="00DD1501" w:rsidP="00DD1501">
            <w:pPr>
              <w:spacing w:before="60" w:line="240" w:lineRule="auto"/>
              <w:rPr>
                <w:rFonts w:ascii="Times New Roman" w:hAnsi="Times New Roman" w:cs="Times New Roman"/>
                <w:sz w:val="18"/>
                <w:szCs w:val="18"/>
              </w:rPr>
            </w:pPr>
            <w:r w:rsidRPr="00DD1501">
              <w:rPr>
                <w:rFonts w:ascii="Times New Roman" w:hAnsi="Times New Roman" w:cs="Times New Roman"/>
                <w:sz w:val="18"/>
                <w:szCs w:val="18"/>
              </w:rPr>
              <w:t>Adjusted R</w:t>
            </w:r>
            <w:r w:rsidRPr="00DD1501">
              <w:rPr>
                <w:rFonts w:ascii="Times New Roman" w:hAnsi="Times New Roman" w:cs="Times New Roman"/>
                <w:sz w:val="18"/>
                <w:szCs w:val="18"/>
                <w:vertAlign w:val="superscript"/>
              </w:rPr>
              <w:t xml:space="preserve">2 </w:t>
            </w:r>
            <w:r w:rsidRPr="00DD1501">
              <w:rPr>
                <w:rFonts w:ascii="Times New Roman" w:hAnsi="Times New Roman" w:cs="Times New Roman"/>
                <w:sz w:val="18"/>
                <w:szCs w:val="18"/>
              </w:rPr>
              <w:t>= 0.464</w:t>
            </w:r>
          </w:p>
          <w:p w14:paraId="59AE469B" w14:textId="77777777" w:rsidR="00DD1501" w:rsidRPr="00DD1501" w:rsidRDefault="00DD1501" w:rsidP="00DD1501">
            <w:pPr>
              <w:spacing w:before="60" w:line="240" w:lineRule="auto"/>
              <w:rPr>
                <w:rFonts w:ascii="Times New Roman" w:hAnsi="Times New Roman" w:cs="Times New Roman"/>
                <w:sz w:val="18"/>
                <w:szCs w:val="18"/>
              </w:rPr>
            </w:pPr>
            <w:r w:rsidRPr="00DD1501">
              <w:rPr>
                <w:rFonts w:ascii="Times New Roman" w:hAnsi="Times New Roman" w:cs="Times New Roman"/>
                <w:i/>
                <w:sz w:val="18"/>
                <w:szCs w:val="18"/>
              </w:rPr>
              <w:t>F</w:t>
            </w:r>
            <w:r w:rsidRPr="00DD1501">
              <w:rPr>
                <w:rFonts w:ascii="Times New Roman" w:hAnsi="Times New Roman" w:cs="Times New Roman"/>
                <w:sz w:val="18"/>
                <w:szCs w:val="18"/>
              </w:rPr>
              <w:t xml:space="preserve"> = 10.098 (</w:t>
            </w:r>
            <w:r w:rsidRPr="00DD1501">
              <w:rPr>
                <w:rFonts w:ascii="Times New Roman" w:hAnsi="Times New Roman" w:cs="Times New Roman"/>
                <w:i/>
                <w:sz w:val="18"/>
                <w:szCs w:val="18"/>
              </w:rPr>
              <w:t>p&lt;</w:t>
            </w:r>
            <w:r w:rsidRPr="00DD1501">
              <w:rPr>
                <w:rFonts w:ascii="Times New Roman" w:hAnsi="Times New Roman" w:cs="Times New Roman"/>
                <w:sz w:val="18"/>
                <w:szCs w:val="18"/>
              </w:rPr>
              <w:t>0.000)</w:t>
            </w:r>
          </w:p>
          <w:p w14:paraId="0DD789F2" w14:textId="77777777" w:rsidR="00DD1501" w:rsidRPr="00DD1501" w:rsidRDefault="00DD1501" w:rsidP="00DD1501">
            <w:pPr>
              <w:spacing w:before="60" w:line="240" w:lineRule="auto"/>
              <w:rPr>
                <w:rFonts w:ascii="Times New Roman" w:hAnsi="Times New Roman" w:cs="Times New Roman"/>
                <w:sz w:val="18"/>
                <w:szCs w:val="18"/>
              </w:rPr>
            </w:pPr>
            <w:r w:rsidRPr="00DD1501">
              <w:rPr>
                <w:rFonts w:ascii="Times New Roman" w:hAnsi="Times New Roman" w:cs="Times New Roman"/>
                <w:sz w:val="18"/>
                <w:szCs w:val="18"/>
              </w:rPr>
              <w:t>Kolmogorov-Smirnov normality test (</w:t>
            </w:r>
            <w:proofErr w:type="spellStart"/>
            <w:r w:rsidRPr="00DD1501">
              <w:rPr>
                <w:rFonts w:ascii="Times New Roman" w:hAnsi="Times New Roman" w:cs="Times New Roman"/>
                <w:sz w:val="18"/>
                <w:szCs w:val="18"/>
              </w:rPr>
              <w:t>Lilliefors</w:t>
            </w:r>
            <w:proofErr w:type="spellEnd"/>
            <w:r w:rsidRPr="00DD1501">
              <w:rPr>
                <w:rFonts w:ascii="Times New Roman" w:hAnsi="Times New Roman" w:cs="Times New Roman"/>
                <w:sz w:val="18"/>
                <w:szCs w:val="18"/>
              </w:rPr>
              <w:t xml:space="preserve"> significance correction): </w:t>
            </w:r>
            <w:r w:rsidRPr="00DD1501">
              <w:rPr>
                <w:rFonts w:ascii="Times New Roman" w:hAnsi="Times New Roman" w:cs="Times New Roman"/>
                <w:i/>
                <w:sz w:val="18"/>
                <w:szCs w:val="18"/>
              </w:rPr>
              <w:t xml:space="preserve">F = </w:t>
            </w:r>
            <w:r w:rsidRPr="00DD1501">
              <w:rPr>
                <w:rFonts w:ascii="Times New Roman" w:hAnsi="Times New Roman" w:cs="Times New Roman"/>
                <w:sz w:val="18"/>
                <w:szCs w:val="18"/>
              </w:rPr>
              <w:t>0.084 (</w:t>
            </w:r>
            <w:r w:rsidRPr="00DD1501">
              <w:rPr>
                <w:rFonts w:ascii="Times New Roman" w:hAnsi="Times New Roman" w:cs="Times New Roman"/>
                <w:i/>
                <w:sz w:val="18"/>
                <w:szCs w:val="18"/>
              </w:rPr>
              <w:t>p</w:t>
            </w:r>
            <w:r w:rsidRPr="00DD1501">
              <w:rPr>
                <w:rFonts w:ascii="Times New Roman" w:hAnsi="Times New Roman" w:cs="Times New Roman"/>
                <w:sz w:val="18"/>
                <w:szCs w:val="18"/>
              </w:rPr>
              <w:t xml:space="preserve"> = 0.062)</w:t>
            </w:r>
          </w:p>
          <w:p w14:paraId="20D3B007" w14:textId="77777777" w:rsidR="00DD1501" w:rsidRPr="00DD1501" w:rsidRDefault="00DD1501" w:rsidP="00DD1501">
            <w:pPr>
              <w:spacing w:before="60" w:line="240" w:lineRule="auto"/>
              <w:rPr>
                <w:rFonts w:ascii="Times New Roman" w:hAnsi="Times New Roman" w:cs="Times New Roman"/>
                <w:sz w:val="18"/>
                <w:szCs w:val="18"/>
              </w:rPr>
            </w:pPr>
            <w:r w:rsidRPr="00DD1501">
              <w:rPr>
                <w:rFonts w:ascii="Times New Roman" w:hAnsi="Times New Roman" w:cs="Times New Roman"/>
                <w:sz w:val="18"/>
                <w:szCs w:val="18"/>
              </w:rPr>
              <w:t>Shapiro-</w:t>
            </w:r>
            <w:proofErr w:type="spellStart"/>
            <w:r w:rsidRPr="00DD1501">
              <w:rPr>
                <w:rFonts w:ascii="Times New Roman" w:hAnsi="Times New Roman" w:cs="Times New Roman"/>
                <w:sz w:val="18"/>
                <w:szCs w:val="18"/>
              </w:rPr>
              <w:t>Wilk</w:t>
            </w:r>
            <w:proofErr w:type="spellEnd"/>
            <w:r w:rsidRPr="00DD1501">
              <w:rPr>
                <w:rFonts w:ascii="Times New Roman" w:hAnsi="Times New Roman" w:cs="Times New Roman"/>
                <w:sz w:val="18"/>
                <w:szCs w:val="18"/>
              </w:rPr>
              <w:t xml:space="preserve"> normality test: </w:t>
            </w:r>
            <w:r w:rsidRPr="00DD1501">
              <w:rPr>
                <w:rFonts w:ascii="Times New Roman" w:hAnsi="Times New Roman" w:cs="Times New Roman"/>
                <w:i/>
                <w:sz w:val="18"/>
                <w:szCs w:val="18"/>
              </w:rPr>
              <w:t>F</w:t>
            </w:r>
            <w:r w:rsidRPr="00DD1501">
              <w:rPr>
                <w:rFonts w:ascii="Times New Roman" w:hAnsi="Times New Roman" w:cs="Times New Roman"/>
                <w:sz w:val="18"/>
                <w:szCs w:val="18"/>
              </w:rPr>
              <w:t xml:space="preserve"> = 0.973 (</w:t>
            </w:r>
            <w:r w:rsidRPr="00DD1501">
              <w:rPr>
                <w:rFonts w:ascii="Times New Roman" w:hAnsi="Times New Roman" w:cs="Times New Roman"/>
                <w:i/>
                <w:sz w:val="18"/>
                <w:szCs w:val="18"/>
              </w:rPr>
              <w:t>p</w:t>
            </w:r>
            <w:r w:rsidRPr="00DD1501">
              <w:rPr>
                <w:rFonts w:ascii="Times New Roman" w:hAnsi="Times New Roman" w:cs="Times New Roman"/>
                <w:sz w:val="18"/>
                <w:szCs w:val="18"/>
              </w:rPr>
              <w:t xml:space="preserve"> = 0.030)</w:t>
            </w:r>
          </w:p>
        </w:tc>
      </w:tr>
    </w:tbl>
    <w:p w14:paraId="5E605607" w14:textId="77777777" w:rsidR="00DD1501" w:rsidRDefault="00DD1501" w:rsidP="00A7635D">
      <w:pPr>
        <w:rPr>
          <w:lang w:val="es-ES"/>
        </w:rPr>
      </w:pPr>
    </w:p>
    <w:p w14:paraId="428D4AB3" w14:textId="77777777" w:rsidR="00DD1501" w:rsidRDefault="00DD1501" w:rsidP="00DD1501">
      <w:pPr>
        <w:rPr>
          <w:lang w:val="es-ES"/>
        </w:rPr>
      </w:pPr>
    </w:p>
    <w:p w14:paraId="3759E92B" w14:textId="77777777" w:rsidR="00DD1501" w:rsidRPr="00DD1501" w:rsidRDefault="00DD1501" w:rsidP="00DD1501">
      <w:pPr>
        <w:rPr>
          <w:lang w:val="es-ES"/>
        </w:rPr>
      </w:pPr>
      <w:r w:rsidRPr="00DD1501">
        <w:rPr>
          <w:lang w:val="es-ES"/>
        </w:rPr>
        <w:t>Se comprueba también la significatividad conjunta de los parámetros del modelo 2 (F=10.098, p&lt;0.000), resultando significativamente distintos de cero los valores del estadístico t de las variables amortización (AMRT), autofinanciación (AUTO), composición del activo (COMA), logaritmo del activo total (LOGA) y rotación (ROTA). Los signos de los coeficientes revelan relaciones positivas entre la deuda a l/p y la amortización, composición del activo y rotación, y negativas entre la variable dependiente y las variables autofinanciación y logaritmo del activo total (Tabla 3).</w:t>
      </w:r>
    </w:p>
    <w:p w14:paraId="0F52EC91" w14:textId="77777777" w:rsidR="00DD1501" w:rsidRPr="00DD1501" w:rsidRDefault="00DD1501" w:rsidP="00DD1501">
      <w:pPr>
        <w:rPr>
          <w:lang w:val="es-ES"/>
        </w:rPr>
      </w:pPr>
      <w:r w:rsidRPr="00DD1501">
        <w:rPr>
          <w:lang w:val="es-ES"/>
        </w:rPr>
        <w:t>El modelo de regresión 1 presenta un porcentaje de explicación alto, como revelan tanto el coeficiente de determinación (R2=0.84) como el coeficiente de determinación corregido (R2 corregida=0.83). La proximidad de ambos valores, es decir la escasa pérdida de capacidad predictiva que se produciría si el modelo se derivase de la población de la que fue extraída la muestra (R2 corregida) en lugar de la muestra utilizada (R2), revela la bondad del ajuste conseguido. Sin embargo, la capacidad de explicación del modelo 2 es notablemente menor, detectándose además diferencias mayores entre los valores del coeficiente de determinación (R2=0.51) y el coeficiente de determinación corregido (R2 corregido=0.46).</w:t>
      </w:r>
    </w:p>
    <w:p w14:paraId="7B4A3743" w14:textId="77777777" w:rsidR="00DD1501" w:rsidRPr="00DD1501" w:rsidRDefault="00DD1501" w:rsidP="00DD1501">
      <w:pPr>
        <w:rPr>
          <w:lang w:val="es-ES"/>
        </w:rPr>
      </w:pPr>
      <w:r w:rsidRPr="00DD1501">
        <w:rPr>
          <w:lang w:val="es-ES"/>
        </w:rPr>
        <w:t xml:space="preserve">Los índices de condición reflejados en las Tablas 2 y 3 revelan que los modelos estimados no se ven afectados por problemas de </w:t>
      </w:r>
      <w:proofErr w:type="spellStart"/>
      <w:r w:rsidRPr="00DD1501">
        <w:rPr>
          <w:lang w:val="es-ES"/>
        </w:rPr>
        <w:t>multicolinealidad</w:t>
      </w:r>
      <w:proofErr w:type="spellEnd"/>
      <w:r w:rsidRPr="00DD1501">
        <w:rPr>
          <w:lang w:val="es-ES"/>
        </w:rPr>
        <w:t xml:space="preserve">. El índice de condición del último componente es elevado en ambos modelos. Sin embargo, en dicho componente, el 95% de la varianza corresponde a una única variable (LOGA), lo que descarta el problema de la </w:t>
      </w:r>
      <w:proofErr w:type="spellStart"/>
      <w:r w:rsidRPr="00DD1501">
        <w:rPr>
          <w:lang w:val="es-ES"/>
        </w:rPr>
        <w:t>colinealidad</w:t>
      </w:r>
      <w:proofErr w:type="spellEnd"/>
      <w:r w:rsidRPr="00DD1501">
        <w:rPr>
          <w:lang w:val="es-ES"/>
        </w:rPr>
        <w:t xml:space="preserve">. El análisis gráfico de los residuos </w:t>
      </w:r>
      <w:proofErr w:type="spellStart"/>
      <w:r w:rsidRPr="00DD1501">
        <w:rPr>
          <w:lang w:val="es-ES"/>
        </w:rPr>
        <w:t>estudentizados</w:t>
      </w:r>
      <w:proofErr w:type="spellEnd"/>
      <w:r w:rsidRPr="00DD1501">
        <w:rPr>
          <w:lang w:val="es-ES"/>
        </w:rPr>
        <w:t xml:space="preserve"> indica asimismo ausencia de </w:t>
      </w:r>
      <w:proofErr w:type="spellStart"/>
      <w:r w:rsidRPr="00DD1501">
        <w:rPr>
          <w:lang w:val="es-ES"/>
        </w:rPr>
        <w:t>heterocedasticidad</w:t>
      </w:r>
      <w:proofErr w:type="spellEnd"/>
      <w:r w:rsidRPr="00DD1501">
        <w:rPr>
          <w:lang w:val="es-ES"/>
        </w:rPr>
        <w:t xml:space="preserve"> y los test de normalidad (</w:t>
      </w:r>
      <w:proofErr w:type="spellStart"/>
      <w:r w:rsidRPr="00DD1501">
        <w:rPr>
          <w:lang w:val="es-ES"/>
        </w:rPr>
        <w:t>Kolmogorov-Smirnov</w:t>
      </w:r>
      <w:proofErr w:type="spellEnd"/>
      <w:r w:rsidRPr="00DD1501">
        <w:rPr>
          <w:lang w:val="es-ES"/>
        </w:rPr>
        <w:t xml:space="preserve"> y </w:t>
      </w:r>
      <w:proofErr w:type="spellStart"/>
      <w:r w:rsidRPr="00DD1501">
        <w:rPr>
          <w:lang w:val="es-ES"/>
        </w:rPr>
        <w:t>Shapiro-Wilk</w:t>
      </w:r>
      <w:proofErr w:type="spellEnd"/>
      <w:r w:rsidRPr="00DD1501">
        <w:rPr>
          <w:lang w:val="es-ES"/>
        </w:rPr>
        <w:t>) sobre dichos residuos permiten verificar la condición de normalidad.</w:t>
      </w:r>
    </w:p>
    <w:p w14:paraId="30D13E62" w14:textId="77777777" w:rsidR="00DD1501" w:rsidRDefault="00DD1501" w:rsidP="00A7635D">
      <w:pPr>
        <w:rPr>
          <w:lang w:val="es-ES"/>
        </w:rPr>
      </w:pPr>
    </w:p>
    <w:p w14:paraId="24939698" w14:textId="5D1EE2B2" w:rsidR="00DD1501" w:rsidRPr="004E06D8" w:rsidRDefault="0004582E" w:rsidP="00DD1501">
      <w:pPr>
        <w:pStyle w:val="Ttulo2"/>
        <w:numPr>
          <w:ilvl w:val="0"/>
          <w:numId w:val="13"/>
        </w:numPr>
        <w:ind w:left="284" w:hanging="284"/>
        <w:rPr>
          <w:lang w:val="es-ES"/>
        </w:rPr>
      </w:pPr>
      <w:r>
        <w:rPr>
          <w:lang w:val="es-ES"/>
        </w:rPr>
        <w:lastRenderedPageBreak/>
        <w:t>Discusión y conclusiones</w:t>
      </w:r>
    </w:p>
    <w:p w14:paraId="470AE327" w14:textId="77777777" w:rsidR="0004582E" w:rsidRPr="0004582E" w:rsidRDefault="0004582E" w:rsidP="0004582E">
      <w:pPr>
        <w:rPr>
          <w:lang w:val="es-ES"/>
        </w:rPr>
      </w:pPr>
      <w:r w:rsidRPr="0004582E">
        <w:rPr>
          <w:lang w:val="es-ES"/>
        </w:rPr>
        <w:t xml:space="preserve">Según se desprende de los modelos de regresión, no existen evidencias estadísticas que permitan concluir sobre el cumplimiento de la hipótesis H1, que sustenta la Teoría del Óptimo Financiero en las cooperativas agrarias. Dicha hipótesis prevé una relación negativa entre la variable de los gastos de amortización y el endeudamiento, en la medida en que estas entidades pueden hacer uso de éste como escudo fiscal en ausencia de otras ventajas fiscales. Este hecho puede deberse a dos motivos. Por una parte, estos resultados parecen reforzar las conclusiones previas de la investigación relativas a la dificultad para evidenciar empíricamente en los datos los efectos fiscales asociados a esta Teoría (Frank y </w:t>
      </w:r>
      <w:proofErr w:type="spellStart"/>
      <w:r w:rsidRPr="0004582E">
        <w:rPr>
          <w:lang w:val="es-ES"/>
        </w:rPr>
        <w:t>Goyal</w:t>
      </w:r>
      <w:proofErr w:type="spellEnd"/>
      <w:r w:rsidRPr="0004582E">
        <w:rPr>
          <w:lang w:val="es-ES"/>
        </w:rPr>
        <w:t xml:space="preserve">, 2009). Pero además, las sociedades cooperativas gozan en España de un régimen fiscal sustantivo (Ley 20/1990, de 19 de diciembre, de Régimen Fiscal de Cooperativas, y sus sucesivas modificaciones) que les confiere el carácter de entidades protegidas o especialmente protegidas desde el punto de vista tributario. Este hecho justifica que estas entidades no consideren el endeudamiento como una protección o escudo fiscal al disponer ya de una serie de incentivos fiscales asociados a la propia forma jurídica de la entidad. </w:t>
      </w:r>
    </w:p>
    <w:p w14:paraId="07B93A9E" w14:textId="77777777" w:rsidR="0004582E" w:rsidRPr="0004582E" w:rsidRDefault="0004582E" w:rsidP="0004582E">
      <w:pPr>
        <w:rPr>
          <w:lang w:val="es-ES"/>
        </w:rPr>
      </w:pPr>
      <w:r w:rsidRPr="0004582E">
        <w:rPr>
          <w:lang w:val="es-ES"/>
        </w:rPr>
        <w:t xml:space="preserve">Sí se verifica, en cambio, la Teoría de la Jerarquización, habiendo resultado significativa en ambos modelos la variable relativa a la autofinanciación, confirmando H2 y siendo además la que mayor efecto genera en el endeudamiento total de las cooperativas, atendiendo a su coeficiente estandarizado. La capacidad para generar recursos internos está relacionada negativamente con el nivel de endeudamiento. Las cooperativas se financiarán recurriendo a la deuda, negociada o no, sólo en el caso de que los recursos internos no sean suficientes.  </w:t>
      </w:r>
    </w:p>
    <w:p w14:paraId="680A8501" w14:textId="77777777" w:rsidR="0004582E" w:rsidRPr="0004582E" w:rsidRDefault="0004582E" w:rsidP="0004582E">
      <w:pPr>
        <w:rPr>
          <w:lang w:val="es-ES"/>
        </w:rPr>
      </w:pPr>
      <w:r w:rsidRPr="0004582E">
        <w:rPr>
          <w:lang w:val="es-ES"/>
        </w:rPr>
        <w:t>La argumentación de esta teoría financiera exige recurrir a las raíces de la teoría económica del cooperativismo. Esta se centra en relacionar los objetivos de la organización con la conceptualización de la misma, distinguiendo así el objetivo de maximización del beneficio propio de las entidades capitalistas de otras metas que reflejan la naturaleza dual de la cooperativa, como es el beneficio de sus miembros y la rentabilidad de la empresa (</w:t>
      </w:r>
      <w:proofErr w:type="spellStart"/>
      <w:r w:rsidRPr="0004582E">
        <w:rPr>
          <w:lang w:val="es-ES"/>
        </w:rPr>
        <w:t>Soboh</w:t>
      </w:r>
      <w:proofErr w:type="spellEnd"/>
      <w:r w:rsidRPr="0004582E">
        <w:rPr>
          <w:lang w:val="es-ES"/>
        </w:rPr>
        <w:t xml:space="preserve"> et al., 2009). Conceptualmente las cooperativas son organizaciones de usuarios-propietarios y usuarios-decisores cuyo objetivo es el beneficio de sus miembros en base a la actividad realizada con la cooperativa (</w:t>
      </w:r>
      <w:proofErr w:type="spellStart"/>
      <w:r w:rsidRPr="0004582E">
        <w:rPr>
          <w:lang w:val="es-ES"/>
        </w:rPr>
        <w:t>Dunn</w:t>
      </w:r>
      <w:proofErr w:type="spellEnd"/>
      <w:r w:rsidRPr="0004582E">
        <w:rPr>
          <w:lang w:val="es-ES"/>
        </w:rPr>
        <w:t xml:space="preserve">, 1988). Los principios cooperativos subyacen en las prácticas organizativas de estas entidades: los usuarios controlan la entidad mediante estructuras democráticas de toma de decisiones; los beneficios a sus miembros se logran mediante retornos repartidos a los socios en función de su actividad </w:t>
      </w:r>
      <w:proofErr w:type="spellStart"/>
      <w:r w:rsidRPr="0004582E">
        <w:rPr>
          <w:lang w:val="es-ES"/>
        </w:rPr>
        <w:t>cooperativizada</w:t>
      </w:r>
      <w:proofErr w:type="spellEnd"/>
      <w:r w:rsidRPr="0004582E">
        <w:rPr>
          <w:lang w:val="es-ES"/>
        </w:rPr>
        <w:t>, liquidaciones o precios equitativos, o la posibilidad de acceso a mercados, proveedores y servicios (</w:t>
      </w:r>
      <w:proofErr w:type="spellStart"/>
      <w:r w:rsidRPr="0004582E">
        <w:rPr>
          <w:lang w:val="es-ES"/>
        </w:rPr>
        <w:t>Bijman</w:t>
      </w:r>
      <w:proofErr w:type="spellEnd"/>
      <w:r w:rsidRPr="0004582E">
        <w:rPr>
          <w:lang w:val="es-ES"/>
        </w:rPr>
        <w:t xml:space="preserve"> et al., 2012). A pesar de que la dualidad de metas señalada (beneficio de los socios y rentabilidad de la empresa) debería estar equilibrada en el diseño de la estrategia y actuaciones de las cooperativas agrarias, la realidad del cooperativismo español revela que estas entidades suelen primar los objetivos cortoplacistas de maximización de liquidaciones a sus socios como forma de retribución de los mismos, en detrimento de la autofinanciación de la entidad. Por este motivo, la escasez de autofinanciación conduce a que las fuentes de financiación utilizadas sean mayoritariamente fuentes externas, principalmente ajenas. </w:t>
      </w:r>
    </w:p>
    <w:p w14:paraId="769D6DBF" w14:textId="77777777" w:rsidR="0004582E" w:rsidRPr="0004582E" w:rsidRDefault="0004582E" w:rsidP="0004582E">
      <w:pPr>
        <w:rPr>
          <w:lang w:val="es-ES"/>
        </w:rPr>
      </w:pPr>
      <w:r w:rsidRPr="0004582E">
        <w:rPr>
          <w:lang w:val="es-ES"/>
        </w:rPr>
        <w:t xml:space="preserve">Los resultados se muestran en apariencia contradictorios respecto a H3, esto es, que mayores inversiones en activos no corrientes incentiven el endeudamiento en las cooperativas, hipótesis que no se confirma para el endeudamiento total, pero sí para el endeudamiento negociado. Este resultado para el endeudamiento total es inconsistente con las predicciones de las teorías financieras del Óptimo Financiero y la Jerarquización, que asumen relaciones positivas entre endeudamiento y activos no corrientes (Cole, 2013). Esto puede explicarse por la definición de la variable dependiente (END.T) en el modelo de endeudamiento total, al recoger esta variable todo el endeudamiento, tanto negociado como no negociado, de la cooperativa. Se ha señalado a este respecto (Harris y </w:t>
      </w:r>
      <w:proofErr w:type="spellStart"/>
      <w:r w:rsidRPr="0004582E">
        <w:rPr>
          <w:lang w:val="es-ES"/>
        </w:rPr>
        <w:t>Raviv</w:t>
      </w:r>
      <w:proofErr w:type="spellEnd"/>
      <w:r w:rsidRPr="0004582E">
        <w:rPr>
          <w:lang w:val="es-ES"/>
        </w:rPr>
        <w:t>, 1991) que una mayor inversión en activos no corrientes facilita a las entidades obtener financiación de bancos y otras entidades de crédito, lo que justifica que la relación positiva entre estas variables sí se manifieste en la variable (DEUDA l/p) y quede sin embargo diluida en el endeudamiento total de la entidad, que incluye también otros pasivos para los que no es determinante la composición de la estructura económica (activo).</w:t>
      </w:r>
    </w:p>
    <w:p w14:paraId="1088384B" w14:textId="77777777" w:rsidR="0004582E" w:rsidRPr="0004582E" w:rsidRDefault="0004582E" w:rsidP="0004582E">
      <w:pPr>
        <w:rPr>
          <w:lang w:val="es-ES"/>
        </w:rPr>
      </w:pPr>
      <w:r w:rsidRPr="0004582E">
        <w:rPr>
          <w:lang w:val="es-ES"/>
        </w:rPr>
        <w:t xml:space="preserve">Por lo que respecta a la liquidez, en la medida en que los activos líquidos pueden ser fácilmente convertibles en efectivo y, en consecuencia, minorar los costes de insolvencia, resulta aparentemente paradójico el incumplimiento de H4, evidenciando que las cooperativas con menor liquidez general son las más endeudadas, al haber obtenido en el modelo 1 un coeficiente negativo en la variable (Liq.1). No obstante, esta conclusión es matizable, máxime teniendo en cuenta que la variable (Liq.2) que representa el volumen de efectivo en la entidad sí presenta un coeficiente positivo, aunque no resulte estadísticamente significativa. La variable (Liq.1) considera como activos líquidos todos los activos </w:t>
      </w:r>
      <w:r w:rsidRPr="0004582E">
        <w:rPr>
          <w:lang w:val="es-ES"/>
        </w:rPr>
        <w:lastRenderedPageBreak/>
        <w:t>corrientes de la cooperativa, incluyendo partidas de existencias en almacén y derechos de cobro que, en la realidad, pueden constituir activos de escasa o nula rotación, comprometiendo con ello la liquidez real de la entidad. En un contexto de aversión al riesgo en momentos de turbulencias económicas, esta acumulación de inversiones corrientes difícilmente transformables en efectivo parece suponer un freno a la política de endeudamiento. En el modelo de la deuda negociada ninguna de las variables relativas a la liquidez ha resultado significativa. Estas conclusiones contradicen las predicciones de la Teoría del Óptimo Financiero pero sin embargo corroboran las de la Teoría de la Jerarquización que postula, relacionando la liquidez con el rendimiento de la entidad, que las empresas más productivas generan más beneficios retenidos y, aparentemente, más activos líquidos, por lo que necesitan menores niveles de deuda (Cole, 2013).</w:t>
      </w:r>
    </w:p>
    <w:p w14:paraId="54E44B1E" w14:textId="77777777" w:rsidR="0004582E" w:rsidRPr="0004582E" w:rsidRDefault="0004582E" w:rsidP="0004582E">
      <w:pPr>
        <w:rPr>
          <w:lang w:val="es-ES"/>
        </w:rPr>
      </w:pPr>
      <w:r w:rsidRPr="0004582E">
        <w:rPr>
          <w:lang w:val="es-ES"/>
        </w:rPr>
        <w:t xml:space="preserve">La significatividad de las variables que contrastan H5 apoyan el cumplimiento de dicha hipótesis, especialmente en el modelo 1, es decir, la existencia de una relación entre el endeudamiento y el tamaño de la entidad. Los resultados revelan sin embargo un comportamiento inconsistente de las variables utilizadas para </w:t>
      </w:r>
      <w:proofErr w:type="spellStart"/>
      <w:r w:rsidRPr="0004582E">
        <w:rPr>
          <w:lang w:val="es-ES"/>
        </w:rPr>
        <w:t>modelizar</w:t>
      </w:r>
      <w:proofErr w:type="spellEnd"/>
      <w:r w:rsidRPr="0004582E">
        <w:rPr>
          <w:lang w:val="es-ES"/>
        </w:rPr>
        <w:t xml:space="preserve"> el tamaño con la hipótesis más generalizada de la Teoría del Óptimo Financiero, que sugiere una relación positiva, como ya se ha señalado en otros estudios (Cole, 2013). Desde una perspectiva estática, el coeficiente negativo en ambos modelos de la variable relativa al volumen de activo total de la cooperativa (Log.AT) contradice la relación esperada, apuntando que las entidades con más activo están menos endeudadas. Este hecho podría explicarse en el marco de la teoría de la Jerarquización: un mayor tamaño reduce los problemas de información asimétrica e incrementa las preferencias de la entidad por la financiación propia (Rajan y </w:t>
      </w:r>
      <w:proofErr w:type="spellStart"/>
      <w:r w:rsidRPr="0004582E">
        <w:rPr>
          <w:lang w:val="es-ES"/>
        </w:rPr>
        <w:t>Zingales</w:t>
      </w:r>
      <w:proofErr w:type="spellEnd"/>
      <w:r w:rsidRPr="0004582E">
        <w:rPr>
          <w:lang w:val="es-ES"/>
        </w:rPr>
        <w:t xml:space="preserve">, 1995), conclusión que sin embargo parece alejada de la realidad de la fórmula cooperativa. En la práctica el signo negativo del coeficiente de esta variable podría justificarse por los problemas de sobredimensionado de las instalaciones que caracterizan a un número elevado de cooperativas agrarias en nuestro país y que generan notables discrepancias entre el volumen de activo total y la actividad productiva desarrollada, con la consiguiente pérdida de rentabilidad. Sin embargo, atendiendo a los coeficientes de las variables que </w:t>
      </w:r>
      <w:proofErr w:type="spellStart"/>
      <w:r w:rsidRPr="0004582E">
        <w:rPr>
          <w:lang w:val="es-ES"/>
        </w:rPr>
        <w:t>modelizan</w:t>
      </w:r>
      <w:proofErr w:type="spellEnd"/>
      <w:r w:rsidRPr="0004582E">
        <w:rPr>
          <w:lang w:val="es-ES"/>
        </w:rPr>
        <w:t xml:space="preserve"> el tamaño desde una perspectiva más adaptada a la sustantividad de las cooperativas, basadas en la actividad desarrollada y el número de miembros de su base social, se constata que las entidades con mayor actividad (en términos de volumen de negocio por socio) tienden a un mayor endeudamiento total. Este argumento no resulta sin embargo aplicable a la deuda negociada, habida cuenta de la no significatividad de estas variables en el modelo 2.</w:t>
      </w:r>
    </w:p>
    <w:p w14:paraId="5522AEBD" w14:textId="77777777" w:rsidR="0004582E" w:rsidRPr="0004582E" w:rsidRDefault="0004582E" w:rsidP="0004582E">
      <w:pPr>
        <w:rPr>
          <w:lang w:val="es-ES"/>
        </w:rPr>
      </w:pPr>
      <w:r w:rsidRPr="0004582E">
        <w:rPr>
          <w:lang w:val="es-ES"/>
        </w:rPr>
        <w:t>Los resultados de los análisis de regresión verifican H6, evidenciando la existencia de una relación significativa entre el rendimiento de la cooperativa y su nivel de deuda. Sin embargo, los efectos se manifiestan de forma diferente en los dos modelos. El modelo del endeudamiento total apunta hacia las predicciones de la Teoría de la Jerarquización, confirmando que el endeudamiento total tiende a ser menor en las entidades con mayor rendimiento y, en consecuencia, más capacidad de autofinanciación, como se desprende del signo negativo del coeficiente de la variable rotación. Sin embargo esta conclusión no parece compatible con la escasa cultura de autofinanciación imperante, en términos generales, entre las cooperativas agrarias, idea que es apoyada por los resultados del modelo relativo a la deuda negociada. En este caso, el signo positivo de la variable es coherente con la interpretación de la Teoría del Óptimo Financiero según la cual cuanto más productiva sea la cooperativa menores probabilidades tendrá de incumplir sus obligaciones y mejor imagen ofrecerá a los acreedores, lo que incrementa sus posibilidades de acceso a la financiación negociada de las entidades financieras. La variable relativa a la liquidación por socio no ha resultado significativa en los análisis, aunque cabe señalar el signo negativo también de sus coeficientes.</w:t>
      </w:r>
    </w:p>
    <w:p w14:paraId="2E9677A1" w14:textId="77777777" w:rsidR="0004582E" w:rsidRPr="0004582E" w:rsidRDefault="0004582E" w:rsidP="0004582E">
      <w:pPr>
        <w:rPr>
          <w:lang w:val="es-ES"/>
        </w:rPr>
      </w:pPr>
      <w:r w:rsidRPr="0004582E">
        <w:rPr>
          <w:lang w:val="es-ES"/>
        </w:rPr>
        <w:t xml:space="preserve">Estos resultados ambiguos parecen coherentes con la literatura. La investigación empírica previa sobre las relaciones entre el rendimiento de las cooperativas agrarias y sus decisiones de financiación no ha arrojado resultados concluyentes. </w:t>
      </w:r>
      <w:proofErr w:type="spellStart"/>
      <w:r w:rsidRPr="0004582E">
        <w:rPr>
          <w:lang w:val="es-ES"/>
        </w:rPr>
        <w:t>Hailu</w:t>
      </w:r>
      <w:proofErr w:type="spellEnd"/>
      <w:r w:rsidRPr="0004582E">
        <w:rPr>
          <w:lang w:val="es-ES"/>
        </w:rPr>
        <w:t xml:space="preserve"> et al. (2005) evidenciaron, a partir de una muestra de cooperativas canadienses de frutas y hortalizas, que el nivel de endeudamiento afecta negativamente a la eficiencia de la cooperativa, estimada ésta mediante una función de costes. Sin embargo, otros autores (Chavas y </w:t>
      </w:r>
      <w:proofErr w:type="spellStart"/>
      <w:r w:rsidRPr="0004582E">
        <w:rPr>
          <w:lang w:val="es-ES"/>
        </w:rPr>
        <w:t>Aliber</w:t>
      </w:r>
      <w:proofErr w:type="spellEnd"/>
      <w:r w:rsidRPr="0004582E">
        <w:rPr>
          <w:lang w:val="es-ES"/>
        </w:rPr>
        <w:t xml:space="preserve">, 1993; </w:t>
      </w:r>
      <w:proofErr w:type="spellStart"/>
      <w:r w:rsidRPr="0004582E">
        <w:rPr>
          <w:lang w:val="es-ES"/>
        </w:rPr>
        <w:t>Nasr</w:t>
      </w:r>
      <w:proofErr w:type="spellEnd"/>
      <w:r w:rsidRPr="0004582E">
        <w:rPr>
          <w:lang w:val="es-ES"/>
        </w:rPr>
        <w:t xml:space="preserve"> et al., 1998) han encontrado relaciones positivas entre eficiencia y endeudamiento, si bien con diferentes tipos de matizaciones en relación con la medida de la eficiencia y la naturaleza del endeudamiento. Es muy posible que las divergencias encontradas en estos estudios empíricos sean debidas a las distintas medidas de rendimiento y las diferentes metodologías empleadas, la gran variedad de condiciones de acceso al crédito a que se enfrentan las empresas en distintos países, o a las diferentes situaciones económicas estructurales o coyunturales, lo que imposibilita un resultado generalizable y exige investigaciones de mayor profundidad al respecto.</w:t>
      </w:r>
    </w:p>
    <w:p w14:paraId="48179C5A" w14:textId="77777777" w:rsidR="00DD1501" w:rsidRDefault="00DD1501" w:rsidP="00A7635D">
      <w:pPr>
        <w:rPr>
          <w:lang w:val="es-ES"/>
        </w:rPr>
      </w:pPr>
    </w:p>
    <w:p w14:paraId="1108F24E" w14:textId="2D05A60D" w:rsidR="0004582E" w:rsidRPr="004E06D8" w:rsidRDefault="0004582E" w:rsidP="0004582E">
      <w:pPr>
        <w:pStyle w:val="Ttulo2"/>
        <w:numPr>
          <w:ilvl w:val="0"/>
          <w:numId w:val="13"/>
        </w:numPr>
        <w:ind w:left="284" w:hanging="284"/>
        <w:rPr>
          <w:lang w:val="es-ES"/>
        </w:rPr>
      </w:pPr>
      <w:r>
        <w:rPr>
          <w:lang w:val="es-ES"/>
        </w:rPr>
        <w:lastRenderedPageBreak/>
        <w:t>Referencias</w:t>
      </w:r>
    </w:p>
    <w:p w14:paraId="7282A0E6" w14:textId="78CC32E9" w:rsidR="0004582E" w:rsidRPr="00451AFC" w:rsidRDefault="00451AFC" w:rsidP="00451AFC">
      <w:pPr>
        <w:tabs>
          <w:tab w:val="left" w:pos="284"/>
          <w:tab w:val="left" w:pos="454"/>
          <w:tab w:val="left" w:pos="567"/>
        </w:tabs>
        <w:spacing w:line="240" w:lineRule="exact"/>
        <w:ind w:left="284" w:hanging="284"/>
        <w:rPr>
          <w:sz w:val="18"/>
          <w:szCs w:val="18"/>
          <w:lang w:val="fr-FR"/>
        </w:rPr>
      </w:pPr>
      <w:r w:rsidRPr="00451AFC">
        <w:rPr>
          <w:sz w:val="18"/>
          <w:szCs w:val="18"/>
          <w:lang w:val="fr-FR"/>
        </w:rPr>
        <w:t xml:space="preserve">ARCAS, N.; GARCIA, D.; GUZMAN, I. </w:t>
      </w:r>
      <w:r>
        <w:rPr>
          <w:sz w:val="18"/>
          <w:szCs w:val="18"/>
          <w:lang w:val="fr-FR"/>
        </w:rPr>
        <w:t>(</w:t>
      </w:r>
      <w:r w:rsidR="0004582E" w:rsidRPr="00451AFC">
        <w:rPr>
          <w:sz w:val="18"/>
          <w:szCs w:val="18"/>
          <w:lang w:val="fr-FR"/>
        </w:rPr>
        <w:t>2011</w:t>
      </w:r>
      <w:r>
        <w:rPr>
          <w:sz w:val="18"/>
          <w:szCs w:val="18"/>
          <w:lang w:val="fr-FR"/>
        </w:rPr>
        <w:t>)</w:t>
      </w:r>
      <w:r w:rsidR="0004582E" w:rsidRPr="00451AFC">
        <w:rPr>
          <w:sz w:val="18"/>
          <w:szCs w:val="18"/>
          <w:lang w:val="fr-FR"/>
        </w:rPr>
        <w:t xml:space="preserve">. </w:t>
      </w:r>
      <w:proofErr w:type="spellStart"/>
      <w:r w:rsidR="0004582E" w:rsidRPr="00451AFC">
        <w:rPr>
          <w:sz w:val="18"/>
          <w:szCs w:val="18"/>
          <w:lang w:val="fr-FR"/>
        </w:rPr>
        <w:t>Effect</w:t>
      </w:r>
      <w:proofErr w:type="spellEnd"/>
      <w:r w:rsidR="0004582E" w:rsidRPr="00451AFC">
        <w:rPr>
          <w:sz w:val="18"/>
          <w:szCs w:val="18"/>
          <w:lang w:val="fr-FR"/>
        </w:rPr>
        <w:t xml:space="preserve"> of size on performance of </w:t>
      </w:r>
      <w:proofErr w:type="spellStart"/>
      <w:r w:rsidR="0004582E" w:rsidRPr="00451AFC">
        <w:rPr>
          <w:sz w:val="18"/>
          <w:szCs w:val="18"/>
          <w:lang w:val="fr-FR"/>
        </w:rPr>
        <w:t>Spanish</w:t>
      </w:r>
      <w:proofErr w:type="spellEnd"/>
      <w:r w:rsidR="0004582E" w:rsidRPr="00451AFC">
        <w:rPr>
          <w:sz w:val="18"/>
          <w:szCs w:val="18"/>
          <w:lang w:val="fr-FR"/>
        </w:rPr>
        <w:t xml:space="preserve"> agricultural </w:t>
      </w:r>
      <w:proofErr w:type="spellStart"/>
      <w:r w:rsidR="0004582E" w:rsidRPr="00451AFC">
        <w:rPr>
          <w:sz w:val="18"/>
          <w:szCs w:val="18"/>
          <w:lang w:val="fr-FR"/>
        </w:rPr>
        <w:t>cooperatives</w:t>
      </w:r>
      <w:proofErr w:type="spellEnd"/>
      <w:r w:rsidR="0004582E" w:rsidRPr="00451AFC">
        <w:rPr>
          <w:sz w:val="18"/>
          <w:szCs w:val="18"/>
          <w:lang w:val="fr-FR"/>
        </w:rPr>
        <w:t xml:space="preserve">. </w:t>
      </w:r>
      <w:r w:rsidR="0004582E" w:rsidRPr="004321E7">
        <w:rPr>
          <w:i/>
          <w:sz w:val="18"/>
          <w:szCs w:val="18"/>
          <w:lang w:val="fr-FR"/>
        </w:rPr>
        <w:t>Outlook on Agriculture</w:t>
      </w:r>
      <w:r w:rsidR="0004582E" w:rsidRPr="00451AFC">
        <w:rPr>
          <w:sz w:val="18"/>
          <w:szCs w:val="18"/>
          <w:lang w:val="fr-FR"/>
        </w:rPr>
        <w:t>, 40(3), 201-206.</w:t>
      </w:r>
    </w:p>
    <w:p w14:paraId="18638733" w14:textId="6F1E284E" w:rsidR="0004582E" w:rsidRPr="00451AFC" w:rsidRDefault="00451AFC" w:rsidP="00451AFC">
      <w:pPr>
        <w:tabs>
          <w:tab w:val="left" w:pos="284"/>
          <w:tab w:val="left" w:pos="454"/>
          <w:tab w:val="left" w:pos="567"/>
        </w:tabs>
        <w:spacing w:line="240" w:lineRule="exact"/>
        <w:ind w:left="284" w:hanging="284"/>
        <w:rPr>
          <w:sz w:val="18"/>
          <w:szCs w:val="18"/>
          <w:lang w:val="fr-FR"/>
        </w:rPr>
      </w:pPr>
      <w:r w:rsidRPr="00451AFC">
        <w:rPr>
          <w:sz w:val="18"/>
          <w:szCs w:val="18"/>
          <w:lang w:val="fr-FR"/>
        </w:rPr>
        <w:t xml:space="preserve">BIJMAN, J.; ILIOPOULOS, C.; POPPE, K.J.; GIJSELNCKX, C.; HAGERDORN, K.; HANISCH, M.; HENDRIKSE, G.W.J.; KÜHL, R.; OLLILA, P.; PYYKKÖNEM, P.; VAN DER SANGEN, G. </w:t>
      </w:r>
      <w:r>
        <w:rPr>
          <w:sz w:val="18"/>
          <w:szCs w:val="18"/>
          <w:lang w:val="fr-FR"/>
        </w:rPr>
        <w:t>(</w:t>
      </w:r>
      <w:r w:rsidR="0004582E" w:rsidRPr="00451AFC">
        <w:rPr>
          <w:sz w:val="18"/>
          <w:szCs w:val="18"/>
          <w:lang w:val="fr-FR"/>
        </w:rPr>
        <w:t>2012</w:t>
      </w:r>
      <w:r>
        <w:rPr>
          <w:sz w:val="18"/>
          <w:szCs w:val="18"/>
          <w:lang w:val="fr-FR"/>
        </w:rPr>
        <w:t>)</w:t>
      </w:r>
      <w:r w:rsidR="0004582E" w:rsidRPr="00451AFC">
        <w:rPr>
          <w:sz w:val="18"/>
          <w:szCs w:val="18"/>
          <w:lang w:val="fr-FR"/>
        </w:rPr>
        <w:t xml:space="preserve">. Support for </w:t>
      </w:r>
      <w:proofErr w:type="spellStart"/>
      <w:r w:rsidR="0004582E" w:rsidRPr="00451AFC">
        <w:rPr>
          <w:sz w:val="18"/>
          <w:szCs w:val="18"/>
          <w:lang w:val="fr-FR"/>
        </w:rPr>
        <w:t>farmers</w:t>
      </w:r>
      <w:proofErr w:type="spellEnd"/>
      <w:r w:rsidR="0004582E" w:rsidRPr="00451AFC">
        <w:rPr>
          <w:sz w:val="18"/>
          <w:szCs w:val="18"/>
          <w:lang w:val="fr-FR"/>
        </w:rPr>
        <w:t xml:space="preserve">’ </w:t>
      </w:r>
      <w:proofErr w:type="spellStart"/>
      <w:r w:rsidR="0004582E" w:rsidRPr="00451AFC">
        <w:rPr>
          <w:sz w:val="18"/>
          <w:szCs w:val="18"/>
          <w:lang w:val="fr-FR"/>
        </w:rPr>
        <w:t>Cooperatives</w:t>
      </w:r>
      <w:proofErr w:type="spellEnd"/>
      <w:r w:rsidR="0004582E" w:rsidRPr="00451AFC">
        <w:rPr>
          <w:sz w:val="18"/>
          <w:szCs w:val="18"/>
          <w:lang w:val="fr-FR"/>
        </w:rPr>
        <w:t xml:space="preserve">. Final Report. </w:t>
      </w:r>
      <w:proofErr w:type="spellStart"/>
      <w:r w:rsidR="0004582E" w:rsidRPr="00451AFC">
        <w:rPr>
          <w:sz w:val="18"/>
          <w:szCs w:val="18"/>
          <w:lang w:val="fr-FR"/>
        </w:rPr>
        <w:t>European</w:t>
      </w:r>
      <w:proofErr w:type="spellEnd"/>
      <w:r w:rsidR="0004582E" w:rsidRPr="00451AFC">
        <w:rPr>
          <w:sz w:val="18"/>
          <w:szCs w:val="18"/>
          <w:lang w:val="fr-FR"/>
        </w:rPr>
        <w:t xml:space="preserve"> Commission, Agriculture and Rural </w:t>
      </w:r>
      <w:proofErr w:type="spellStart"/>
      <w:r w:rsidR="0004582E" w:rsidRPr="00451AFC">
        <w:rPr>
          <w:sz w:val="18"/>
          <w:szCs w:val="18"/>
          <w:lang w:val="fr-FR"/>
        </w:rPr>
        <w:t>Development</w:t>
      </w:r>
      <w:proofErr w:type="spellEnd"/>
      <w:r w:rsidR="0004582E" w:rsidRPr="00451AFC">
        <w:rPr>
          <w:sz w:val="18"/>
          <w:szCs w:val="18"/>
          <w:lang w:val="fr-FR"/>
        </w:rPr>
        <w:t xml:space="preserve">, </w:t>
      </w:r>
      <w:proofErr w:type="spellStart"/>
      <w:r w:rsidR="0004582E" w:rsidRPr="00451AFC">
        <w:rPr>
          <w:sz w:val="18"/>
          <w:szCs w:val="18"/>
          <w:lang w:val="fr-FR"/>
        </w:rPr>
        <w:t>November</w:t>
      </w:r>
      <w:proofErr w:type="spellEnd"/>
      <w:r w:rsidR="0004582E" w:rsidRPr="00451AFC">
        <w:rPr>
          <w:sz w:val="18"/>
          <w:szCs w:val="18"/>
          <w:lang w:val="fr-FR"/>
        </w:rPr>
        <w:t xml:space="preserve">. Disponible en: </w:t>
      </w:r>
      <w:hyperlink r:id="rId8" w:history="1">
        <w:r w:rsidR="0004582E" w:rsidRPr="00451AFC">
          <w:rPr>
            <w:sz w:val="18"/>
            <w:szCs w:val="18"/>
            <w:lang w:val="fr-FR"/>
          </w:rPr>
          <w:t>http://ec.europa.eu/agriculture/external-studies/support-farmers-coop_en.htm</w:t>
        </w:r>
      </w:hyperlink>
    </w:p>
    <w:p w14:paraId="3D467BE1" w14:textId="48CC3D77" w:rsidR="0004582E" w:rsidRPr="00451AFC" w:rsidRDefault="00451AFC" w:rsidP="00451AFC">
      <w:pPr>
        <w:tabs>
          <w:tab w:val="left" w:pos="284"/>
          <w:tab w:val="left" w:pos="454"/>
          <w:tab w:val="left" w:pos="567"/>
        </w:tabs>
        <w:spacing w:line="240" w:lineRule="exact"/>
        <w:ind w:left="284" w:hanging="284"/>
        <w:rPr>
          <w:sz w:val="18"/>
          <w:szCs w:val="18"/>
          <w:lang w:val="fr-FR"/>
        </w:rPr>
      </w:pPr>
      <w:r w:rsidRPr="00451AFC">
        <w:rPr>
          <w:sz w:val="18"/>
          <w:szCs w:val="18"/>
          <w:lang w:val="fr-FR"/>
        </w:rPr>
        <w:t xml:space="preserve">BIJMAN, J.; ILIOPOULOS, C. </w:t>
      </w:r>
      <w:r>
        <w:rPr>
          <w:sz w:val="18"/>
          <w:szCs w:val="18"/>
          <w:lang w:val="fr-FR"/>
        </w:rPr>
        <w:t>(</w:t>
      </w:r>
      <w:r w:rsidR="0004582E" w:rsidRPr="00451AFC">
        <w:rPr>
          <w:sz w:val="18"/>
          <w:szCs w:val="18"/>
          <w:lang w:val="fr-FR"/>
        </w:rPr>
        <w:t>2014</w:t>
      </w:r>
      <w:r>
        <w:rPr>
          <w:sz w:val="18"/>
          <w:szCs w:val="18"/>
          <w:lang w:val="fr-FR"/>
        </w:rPr>
        <w:t>)</w:t>
      </w:r>
      <w:r w:rsidR="0004582E" w:rsidRPr="00451AFC">
        <w:rPr>
          <w:sz w:val="18"/>
          <w:szCs w:val="18"/>
          <w:lang w:val="fr-FR"/>
        </w:rPr>
        <w:t xml:space="preserve">. </w:t>
      </w:r>
      <w:proofErr w:type="spellStart"/>
      <w:r w:rsidR="0004582E" w:rsidRPr="00451AFC">
        <w:rPr>
          <w:sz w:val="18"/>
          <w:szCs w:val="18"/>
          <w:lang w:val="fr-FR"/>
        </w:rPr>
        <w:t>Farmers</w:t>
      </w:r>
      <w:proofErr w:type="spellEnd"/>
      <w:r w:rsidR="0004582E" w:rsidRPr="00451AFC">
        <w:rPr>
          <w:sz w:val="18"/>
          <w:szCs w:val="18"/>
          <w:lang w:val="fr-FR"/>
        </w:rPr>
        <w:t xml:space="preserve">’ </w:t>
      </w:r>
      <w:proofErr w:type="spellStart"/>
      <w:r w:rsidR="0004582E" w:rsidRPr="00451AFC">
        <w:rPr>
          <w:sz w:val="18"/>
          <w:szCs w:val="18"/>
          <w:lang w:val="fr-FR"/>
        </w:rPr>
        <w:t>cooperatives</w:t>
      </w:r>
      <w:proofErr w:type="spellEnd"/>
      <w:r w:rsidR="0004582E" w:rsidRPr="00451AFC">
        <w:rPr>
          <w:sz w:val="18"/>
          <w:szCs w:val="18"/>
          <w:lang w:val="fr-FR"/>
        </w:rPr>
        <w:t xml:space="preserve"> in the EU: </w:t>
      </w:r>
      <w:proofErr w:type="spellStart"/>
      <w:r w:rsidR="0004582E" w:rsidRPr="00451AFC">
        <w:rPr>
          <w:sz w:val="18"/>
          <w:szCs w:val="18"/>
          <w:lang w:val="fr-FR"/>
        </w:rPr>
        <w:t>policies</w:t>
      </w:r>
      <w:proofErr w:type="spellEnd"/>
      <w:r w:rsidR="0004582E" w:rsidRPr="00451AFC">
        <w:rPr>
          <w:sz w:val="18"/>
          <w:szCs w:val="18"/>
          <w:lang w:val="fr-FR"/>
        </w:rPr>
        <w:t xml:space="preserve">, </w:t>
      </w:r>
      <w:proofErr w:type="spellStart"/>
      <w:r w:rsidR="0004582E" w:rsidRPr="00451AFC">
        <w:rPr>
          <w:sz w:val="18"/>
          <w:szCs w:val="18"/>
          <w:lang w:val="fr-FR"/>
        </w:rPr>
        <w:t>strategies</w:t>
      </w:r>
      <w:proofErr w:type="spellEnd"/>
      <w:r w:rsidR="0004582E" w:rsidRPr="00451AFC">
        <w:rPr>
          <w:sz w:val="18"/>
          <w:szCs w:val="18"/>
          <w:lang w:val="fr-FR"/>
        </w:rPr>
        <w:t xml:space="preserve"> and </w:t>
      </w:r>
      <w:proofErr w:type="spellStart"/>
      <w:r w:rsidR="0004582E" w:rsidRPr="00451AFC">
        <w:rPr>
          <w:sz w:val="18"/>
          <w:szCs w:val="18"/>
          <w:lang w:val="fr-FR"/>
        </w:rPr>
        <w:t>organization</w:t>
      </w:r>
      <w:proofErr w:type="spellEnd"/>
      <w:r w:rsidR="0004582E" w:rsidRPr="00451AFC">
        <w:rPr>
          <w:sz w:val="18"/>
          <w:szCs w:val="18"/>
          <w:lang w:val="fr-FR"/>
        </w:rPr>
        <w:t xml:space="preserve">. </w:t>
      </w:r>
      <w:proofErr w:type="spellStart"/>
      <w:r w:rsidR="0004582E" w:rsidRPr="004321E7">
        <w:rPr>
          <w:i/>
          <w:sz w:val="18"/>
          <w:szCs w:val="18"/>
          <w:lang w:val="fr-FR"/>
        </w:rPr>
        <w:t>Annals</w:t>
      </w:r>
      <w:proofErr w:type="spellEnd"/>
      <w:r w:rsidR="0004582E" w:rsidRPr="004321E7">
        <w:rPr>
          <w:i/>
          <w:sz w:val="18"/>
          <w:szCs w:val="18"/>
          <w:lang w:val="fr-FR"/>
        </w:rPr>
        <w:t xml:space="preserve"> os Public and </w:t>
      </w:r>
      <w:proofErr w:type="spellStart"/>
      <w:r w:rsidR="0004582E" w:rsidRPr="004321E7">
        <w:rPr>
          <w:i/>
          <w:sz w:val="18"/>
          <w:szCs w:val="18"/>
          <w:lang w:val="fr-FR"/>
        </w:rPr>
        <w:t>Cooperative</w:t>
      </w:r>
      <w:proofErr w:type="spellEnd"/>
      <w:r w:rsidR="0004582E" w:rsidRPr="004321E7">
        <w:rPr>
          <w:i/>
          <w:sz w:val="18"/>
          <w:szCs w:val="18"/>
          <w:lang w:val="fr-FR"/>
        </w:rPr>
        <w:t xml:space="preserve"> </w:t>
      </w:r>
      <w:proofErr w:type="spellStart"/>
      <w:r w:rsidR="0004582E" w:rsidRPr="004321E7">
        <w:rPr>
          <w:i/>
          <w:sz w:val="18"/>
          <w:szCs w:val="18"/>
          <w:lang w:val="fr-FR"/>
        </w:rPr>
        <w:t>Economics</w:t>
      </w:r>
      <w:proofErr w:type="spellEnd"/>
      <w:r w:rsidR="0004582E" w:rsidRPr="00451AFC">
        <w:rPr>
          <w:sz w:val="18"/>
          <w:szCs w:val="18"/>
          <w:lang w:val="fr-FR"/>
        </w:rPr>
        <w:t>, 85(4), 497-508.</w:t>
      </w:r>
    </w:p>
    <w:p w14:paraId="540B4419" w14:textId="1D29AA35" w:rsidR="0004582E" w:rsidRPr="00451AFC" w:rsidRDefault="00451AFC" w:rsidP="00451AFC">
      <w:pPr>
        <w:tabs>
          <w:tab w:val="left" w:pos="284"/>
          <w:tab w:val="left" w:pos="454"/>
          <w:tab w:val="left" w:pos="567"/>
        </w:tabs>
        <w:spacing w:line="240" w:lineRule="exact"/>
        <w:ind w:left="284" w:hanging="284"/>
        <w:rPr>
          <w:sz w:val="18"/>
          <w:szCs w:val="18"/>
          <w:lang w:val="fr-FR"/>
        </w:rPr>
      </w:pPr>
      <w:r w:rsidRPr="00451AFC">
        <w:rPr>
          <w:sz w:val="18"/>
          <w:szCs w:val="18"/>
          <w:lang w:val="fr-FR"/>
        </w:rPr>
        <w:t xml:space="preserve">CHALLITA, S.; SENTIS, P. &amp; AURIER, P. </w:t>
      </w:r>
      <w:r w:rsidR="0004582E" w:rsidRPr="00451AFC">
        <w:rPr>
          <w:sz w:val="18"/>
          <w:szCs w:val="18"/>
          <w:lang w:val="fr-FR"/>
        </w:rPr>
        <w:t xml:space="preserve">(2014). Do </w:t>
      </w:r>
      <w:proofErr w:type="spellStart"/>
      <w:r w:rsidR="0004582E" w:rsidRPr="00451AFC">
        <w:rPr>
          <w:sz w:val="18"/>
          <w:szCs w:val="18"/>
          <w:lang w:val="fr-FR"/>
        </w:rPr>
        <w:t>cooperatives</w:t>
      </w:r>
      <w:proofErr w:type="spellEnd"/>
      <w:r w:rsidR="0004582E" w:rsidRPr="00451AFC">
        <w:rPr>
          <w:sz w:val="18"/>
          <w:szCs w:val="18"/>
          <w:lang w:val="fr-FR"/>
        </w:rPr>
        <w:t xml:space="preserve"> </w:t>
      </w:r>
      <w:proofErr w:type="spellStart"/>
      <w:r w:rsidR="0004582E" w:rsidRPr="00451AFC">
        <w:rPr>
          <w:sz w:val="18"/>
          <w:szCs w:val="18"/>
          <w:lang w:val="fr-FR"/>
        </w:rPr>
        <w:t>perform</w:t>
      </w:r>
      <w:proofErr w:type="spellEnd"/>
      <w:r w:rsidR="0004582E" w:rsidRPr="00451AFC">
        <w:rPr>
          <w:sz w:val="18"/>
          <w:szCs w:val="18"/>
          <w:lang w:val="fr-FR"/>
        </w:rPr>
        <w:t xml:space="preserve"> </w:t>
      </w:r>
      <w:proofErr w:type="spellStart"/>
      <w:r w:rsidR="0004582E" w:rsidRPr="00451AFC">
        <w:rPr>
          <w:sz w:val="18"/>
          <w:szCs w:val="18"/>
          <w:lang w:val="fr-FR"/>
        </w:rPr>
        <w:t>better</w:t>
      </w:r>
      <w:proofErr w:type="spellEnd"/>
      <w:r w:rsidR="0004582E" w:rsidRPr="00451AFC">
        <w:rPr>
          <w:sz w:val="18"/>
          <w:szCs w:val="18"/>
          <w:lang w:val="fr-FR"/>
        </w:rPr>
        <w:t xml:space="preserve"> tan </w:t>
      </w:r>
      <w:proofErr w:type="spellStart"/>
      <w:r w:rsidR="0004582E" w:rsidRPr="00451AFC">
        <w:rPr>
          <w:sz w:val="18"/>
          <w:szCs w:val="18"/>
          <w:lang w:val="fr-FR"/>
        </w:rPr>
        <w:t>investor</w:t>
      </w:r>
      <w:proofErr w:type="spellEnd"/>
      <w:r w:rsidR="0004582E" w:rsidRPr="00451AFC">
        <w:rPr>
          <w:sz w:val="18"/>
          <w:szCs w:val="18"/>
          <w:lang w:val="fr-FR"/>
        </w:rPr>
        <w:t xml:space="preserve"> </w:t>
      </w:r>
      <w:proofErr w:type="spellStart"/>
      <w:r w:rsidR="0004582E" w:rsidRPr="00451AFC">
        <w:rPr>
          <w:sz w:val="18"/>
          <w:szCs w:val="18"/>
          <w:lang w:val="fr-FR"/>
        </w:rPr>
        <w:t>owned</w:t>
      </w:r>
      <w:proofErr w:type="spellEnd"/>
      <w:r w:rsidR="0004582E" w:rsidRPr="00451AFC">
        <w:rPr>
          <w:sz w:val="18"/>
          <w:szCs w:val="18"/>
          <w:lang w:val="fr-FR"/>
        </w:rPr>
        <w:t xml:space="preserve"> </w:t>
      </w:r>
      <w:proofErr w:type="spellStart"/>
      <w:r w:rsidR="0004582E" w:rsidRPr="00451AFC">
        <w:rPr>
          <w:sz w:val="18"/>
          <w:szCs w:val="18"/>
          <w:lang w:val="fr-FR"/>
        </w:rPr>
        <w:t>firms</w:t>
      </w:r>
      <w:proofErr w:type="spellEnd"/>
      <w:r w:rsidR="0004582E" w:rsidRPr="00451AFC">
        <w:rPr>
          <w:sz w:val="18"/>
          <w:szCs w:val="18"/>
          <w:lang w:val="fr-FR"/>
        </w:rPr>
        <w:t xml:space="preserve">. The impact of </w:t>
      </w:r>
      <w:proofErr w:type="spellStart"/>
      <w:r w:rsidR="0004582E" w:rsidRPr="00451AFC">
        <w:rPr>
          <w:sz w:val="18"/>
          <w:szCs w:val="18"/>
          <w:lang w:val="fr-FR"/>
        </w:rPr>
        <w:t>governance</w:t>
      </w:r>
      <w:proofErr w:type="spellEnd"/>
      <w:r w:rsidR="0004582E" w:rsidRPr="00451AFC">
        <w:rPr>
          <w:sz w:val="18"/>
          <w:szCs w:val="18"/>
          <w:lang w:val="fr-FR"/>
        </w:rPr>
        <w:t xml:space="preserve"> on </w:t>
      </w:r>
      <w:proofErr w:type="spellStart"/>
      <w:r w:rsidR="0004582E" w:rsidRPr="00451AFC">
        <w:rPr>
          <w:sz w:val="18"/>
          <w:szCs w:val="18"/>
          <w:lang w:val="fr-FR"/>
        </w:rPr>
        <w:t>financial</w:t>
      </w:r>
      <w:proofErr w:type="spellEnd"/>
      <w:r w:rsidR="0004582E" w:rsidRPr="00451AFC">
        <w:rPr>
          <w:sz w:val="18"/>
          <w:szCs w:val="18"/>
          <w:lang w:val="fr-FR"/>
        </w:rPr>
        <w:t xml:space="preserve"> structure and performance. In L. Hammond </w:t>
      </w:r>
      <w:proofErr w:type="spellStart"/>
      <w:r w:rsidR="0004582E" w:rsidRPr="00451AFC">
        <w:rPr>
          <w:sz w:val="18"/>
          <w:szCs w:val="18"/>
          <w:lang w:val="fr-FR"/>
        </w:rPr>
        <w:t>Ketilson</w:t>
      </w:r>
      <w:proofErr w:type="spellEnd"/>
      <w:r w:rsidR="0004582E" w:rsidRPr="00451AFC">
        <w:rPr>
          <w:sz w:val="18"/>
          <w:szCs w:val="18"/>
          <w:lang w:val="fr-FR"/>
        </w:rPr>
        <w:t xml:space="preserve"> and M.P. </w:t>
      </w:r>
      <w:proofErr w:type="spellStart"/>
      <w:r w:rsidR="0004582E" w:rsidRPr="00451AFC">
        <w:rPr>
          <w:sz w:val="18"/>
          <w:szCs w:val="18"/>
          <w:lang w:val="fr-FR"/>
        </w:rPr>
        <w:t>Ribichaud</w:t>
      </w:r>
      <w:proofErr w:type="spellEnd"/>
      <w:r w:rsidR="0004582E" w:rsidRPr="00451AFC">
        <w:rPr>
          <w:sz w:val="18"/>
          <w:szCs w:val="18"/>
          <w:lang w:val="fr-FR"/>
        </w:rPr>
        <w:t xml:space="preserve"> </w:t>
      </w:r>
      <w:proofErr w:type="spellStart"/>
      <w:r w:rsidR="0004582E" w:rsidRPr="00451AFC">
        <w:rPr>
          <w:sz w:val="18"/>
          <w:szCs w:val="18"/>
          <w:lang w:val="fr-FR"/>
        </w:rPr>
        <w:t>Villettaz</w:t>
      </w:r>
      <w:proofErr w:type="spellEnd"/>
      <w:r w:rsidR="0004582E" w:rsidRPr="00451AFC">
        <w:rPr>
          <w:sz w:val="18"/>
          <w:szCs w:val="18"/>
          <w:lang w:val="fr-FR"/>
        </w:rPr>
        <w:t xml:space="preserve"> (</w:t>
      </w:r>
      <w:proofErr w:type="spellStart"/>
      <w:r w:rsidR="0004582E" w:rsidRPr="00451AFC">
        <w:rPr>
          <w:sz w:val="18"/>
          <w:szCs w:val="18"/>
          <w:lang w:val="fr-FR"/>
        </w:rPr>
        <w:t>Dir</w:t>
      </w:r>
      <w:proofErr w:type="spellEnd"/>
      <w:r w:rsidR="0004582E" w:rsidRPr="00451AFC">
        <w:rPr>
          <w:sz w:val="18"/>
          <w:szCs w:val="18"/>
          <w:lang w:val="fr-FR"/>
        </w:rPr>
        <w:t xml:space="preserve">.), </w:t>
      </w:r>
      <w:proofErr w:type="spellStart"/>
      <w:r w:rsidR="0004582E" w:rsidRPr="00451AFC">
        <w:rPr>
          <w:sz w:val="18"/>
          <w:szCs w:val="18"/>
          <w:lang w:val="fr-FR"/>
        </w:rPr>
        <w:t>Cooperatives</w:t>
      </w:r>
      <w:proofErr w:type="spellEnd"/>
      <w:r w:rsidR="0004582E" w:rsidRPr="00451AFC">
        <w:rPr>
          <w:sz w:val="18"/>
          <w:szCs w:val="18"/>
          <w:lang w:val="fr-FR"/>
        </w:rPr>
        <w:t xml:space="preserve">’ Power to </w:t>
      </w:r>
      <w:proofErr w:type="spellStart"/>
      <w:r w:rsidR="0004582E" w:rsidRPr="00451AFC">
        <w:rPr>
          <w:sz w:val="18"/>
          <w:szCs w:val="18"/>
          <w:lang w:val="fr-FR"/>
        </w:rPr>
        <w:t>Innovate</w:t>
      </w:r>
      <w:proofErr w:type="spellEnd"/>
      <w:r w:rsidR="0004582E" w:rsidRPr="00451AFC">
        <w:rPr>
          <w:sz w:val="18"/>
          <w:szCs w:val="18"/>
          <w:lang w:val="fr-FR"/>
        </w:rPr>
        <w:t xml:space="preserve">: </w:t>
      </w:r>
      <w:proofErr w:type="spellStart"/>
      <w:r w:rsidR="0004582E" w:rsidRPr="00451AFC">
        <w:rPr>
          <w:sz w:val="18"/>
          <w:szCs w:val="18"/>
          <w:lang w:val="fr-FR"/>
        </w:rPr>
        <w:t>Texts</w:t>
      </w:r>
      <w:proofErr w:type="spellEnd"/>
      <w:r w:rsidR="0004582E" w:rsidRPr="00451AFC">
        <w:rPr>
          <w:sz w:val="18"/>
          <w:szCs w:val="18"/>
          <w:lang w:val="fr-FR"/>
        </w:rPr>
        <w:t xml:space="preserve"> </w:t>
      </w:r>
      <w:proofErr w:type="spellStart"/>
      <w:r w:rsidR="0004582E" w:rsidRPr="00451AFC">
        <w:rPr>
          <w:sz w:val="18"/>
          <w:szCs w:val="18"/>
          <w:lang w:val="fr-FR"/>
        </w:rPr>
        <w:t>Selected</w:t>
      </w:r>
      <w:proofErr w:type="spellEnd"/>
      <w:r w:rsidR="0004582E" w:rsidRPr="00451AFC">
        <w:rPr>
          <w:sz w:val="18"/>
          <w:szCs w:val="18"/>
          <w:lang w:val="fr-FR"/>
        </w:rPr>
        <w:t xml:space="preserve"> </w:t>
      </w:r>
      <w:proofErr w:type="spellStart"/>
      <w:r w:rsidR="0004582E" w:rsidRPr="00451AFC">
        <w:rPr>
          <w:sz w:val="18"/>
          <w:szCs w:val="18"/>
          <w:lang w:val="fr-FR"/>
        </w:rPr>
        <w:t>from</w:t>
      </w:r>
      <w:proofErr w:type="spellEnd"/>
      <w:r w:rsidR="0004582E" w:rsidRPr="00451AFC">
        <w:rPr>
          <w:sz w:val="18"/>
          <w:szCs w:val="18"/>
          <w:lang w:val="fr-FR"/>
        </w:rPr>
        <w:t xml:space="preserve"> the International Call for </w:t>
      </w:r>
      <w:proofErr w:type="spellStart"/>
      <w:r w:rsidR="0004582E" w:rsidRPr="00451AFC">
        <w:rPr>
          <w:sz w:val="18"/>
          <w:szCs w:val="18"/>
          <w:lang w:val="fr-FR"/>
        </w:rPr>
        <w:t>Papers</w:t>
      </w:r>
      <w:proofErr w:type="spellEnd"/>
      <w:r w:rsidR="0004582E" w:rsidRPr="00451AFC">
        <w:rPr>
          <w:sz w:val="18"/>
          <w:szCs w:val="18"/>
          <w:lang w:val="fr-FR"/>
        </w:rPr>
        <w:t xml:space="preserve"> (pp. 503-519). </w:t>
      </w:r>
      <w:proofErr w:type="spellStart"/>
      <w:r w:rsidR="0004582E" w:rsidRPr="00451AFC">
        <w:rPr>
          <w:sz w:val="18"/>
          <w:szCs w:val="18"/>
          <w:lang w:val="fr-FR"/>
        </w:rPr>
        <w:t>Quebec</w:t>
      </w:r>
      <w:proofErr w:type="spellEnd"/>
      <w:r w:rsidR="0004582E" w:rsidRPr="00451AFC">
        <w:rPr>
          <w:sz w:val="18"/>
          <w:szCs w:val="18"/>
          <w:lang w:val="fr-FR"/>
        </w:rPr>
        <w:t xml:space="preserve">: International </w:t>
      </w:r>
      <w:proofErr w:type="spellStart"/>
      <w:r w:rsidR="0004582E" w:rsidRPr="00451AFC">
        <w:rPr>
          <w:sz w:val="18"/>
          <w:szCs w:val="18"/>
          <w:lang w:val="fr-FR"/>
        </w:rPr>
        <w:t>Summit</w:t>
      </w:r>
      <w:proofErr w:type="spellEnd"/>
      <w:r w:rsidR="0004582E" w:rsidRPr="00451AFC">
        <w:rPr>
          <w:sz w:val="18"/>
          <w:szCs w:val="18"/>
          <w:lang w:val="fr-FR"/>
        </w:rPr>
        <w:t xml:space="preserve"> of </w:t>
      </w:r>
      <w:proofErr w:type="spellStart"/>
      <w:r w:rsidR="0004582E" w:rsidRPr="00451AFC">
        <w:rPr>
          <w:sz w:val="18"/>
          <w:szCs w:val="18"/>
          <w:lang w:val="fr-FR"/>
        </w:rPr>
        <w:t>Cooperatives</w:t>
      </w:r>
      <w:proofErr w:type="spellEnd"/>
      <w:r w:rsidR="0004582E" w:rsidRPr="00451AFC">
        <w:rPr>
          <w:sz w:val="18"/>
          <w:szCs w:val="18"/>
          <w:lang w:val="fr-FR"/>
        </w:rPr>
        <w:t>.</w:t>
      </w:r>
    </w:p>
    <w:p w14:paraId="4F40595C" w14:textId="4DA01471" w:rsidR="0004582E" w:rsidRPr="00451AFC" w:rsidRDefault="00451AFC" w:rsidP="00451AFC">
      <w:pPr>
        <w:tabs>
          <w:tab w:val="left" w:pos="284"/>
          <w:tab w:val="left" w:pos="454"/>
          <w:tab w:val="left" w:pos="567"/>
        </w:tabs>
        <w:spacing w:line="240" w:lineRule="exact"/>
        <w:ind w:left="284" w:hanging="284"/>
        <w:rPr>
          <w:sz w:val="18"/>
          <w:szCs w:val="18"/>
          <w:lang w:val="fr-FR"/>
        </w:rPr>
      </w:pPr>
      <w:r w:rsidRPr="00451AFC">
        <w:rPr>
          <w:sz w:val="18"/>
          <w:szCs w:val="18"/>
          <w:lang w:val="fr-FR"/>
        </w:rPr>
        <w:t>CHAVAS, J. &amp; ALIBER, M</w:t>
      </w:r>
      <w:r w:rsidR="0004582E" w:rsidRPr="00451AFC">
        <w:rPr>
          <w:sz w:val="18"/>
          <w:szCs w:val="18"/>
          <w:lang w:val="fr-FR"/>
        </w:rPr>
        <w:t xml:space="preserve">. (1993). An </w:t>
      </w:r>
      <w:proofErr w:type="spellStart"/>
      <w:r w:rsidR="0004582E" w:rsidRPr="00451AFC">
        <w:rPr>
          <w:sz w:val="18"/>
          <w:szCs w:val="18"/>
          <w:lang w:val="fr-FR"/>
        </w:rPr>
        <w:t>analysis</w:t>
      </w:r>
      <w:proofErr w:type="spellEnd"/>
      <w:r w:rsidR="0004582E" w:rsidRPr="00451AFC">
        <w:rPr>
          <w:sz w:val="18"/>
          <w:szCs w:val="18"/>
          <w:lang w:val="fr-FR"/>
        </w:rPr>
        <w:t xml:space="preserve"> of </w:t>
      </w:r>
      <w:proofErr w:type="spellStart"/>
      <w:r w:rsidR="0004582E" w:rsidRPr="00451AFC">
        <w:rPr>
          <w:sz w:val="18"/>
          <w:szCs w:val="18"/>
          <w:lang w:val="fr-FR"/>
        </w:rPr>
        <w:t>economic</w:t>
      </w:r>
      <w:proofErr w:type="spellEnd"/>
      <w:r w:rsidR="0004582E" w:rsidRPr="00451AFC">
        <w:rPr>
          <w:sz w:val="18"/>
          <w:szCs w:val="18"/>
          <w:lang w:val="fr-FR"/>
        </w:rPr>
        <w:t xml:space="preserve"> </w:t>
      </w:r>
      <w:proofErr w:type="spellStart"/>
      <w:r w:rsidR="0004582E" w:rsidRPr="00451AFC">
        <w:rPr>
          <w:sz w:val="18"/>
          <w:szCs w:val="18"/>
          <w:lang w:val="fr-FR"/>
        </w:rPr>
        <w:t>efficiency</w:t>
      </w:r>
      <w:proofErr w:type="spellEnd"/>
      <w:r w:rsidR="0004582E" w:rsidRPr="00451AFC">
        <w:rPr>
          <w:sz w:val="18"/>
          <w:szCs w:val="18"/>
          <w:lang w:val="fr-FR"/>
        </w:rPr>
        <w:t xml:space="preserve"> in agriculture: A </w:t>
      </w:r>
      <w:proofErr w:type="spellStart"/>
      <w:r w:rsidR="0004582E" w:rsidRPr="00451AFC">
        <w:rPr>
          <w:sz w:val="18"/>
          <w:szCs w:val="18"/>
          <w:lang w:val="fr-FR"/>
        </w:rPr>
        <w:t>nonparametric</w:t>
      </w:r>
      <w:proofErr w:type="spellEnd"/>
      <w:r w:rsidR="0004582E" w:rsidRPr="00451AFC">
        <w:rPr>
          <w:sz w:val="18"/>
          <w:szCs w:val="18"/>
          <w:lang w:val="fr-FR"/>
        </w:rPr>
        <w:t xml:space="preserve"> </w:t>
      </w:r>
      <w:proofErr w:type="spellStart"/>
      <w:r w:rsidR="0004582E" w:rsidRPr="00451AFC">
        <w:rPr>
          <w:sz w:val="18"/>
          <w:szCs w:val="18"/>
          <w:lang w:val="fr-FR"/>
        </w:rPr>
        <w:t>approach</w:t>
      </w:r>
      <w:proofErr w:type="spellEnd"/>
      <w:r w:rsidR="0004582E" w:rsidRPr="00451AFC">
        <w:rPr>
          <w:sz w:val="18"/>
          <w:szCs w:val="18"/>
          <w:lang w:val="fr-FR"/>
        </w:rPr>
        <w:t xml:space="preserve">. </w:t>
      </w:r>
      <w:r w:rsidR="0004582E" w:rsidRPr="004321E7">
        <w:rPr>
          <w:i/>
          <w:sz w:val="18"/>
          <w:szCs w:val="18"/>
          <w:lang w:val="fr-FR"/>
        </w:rPr>
        <w:t xml:space="preserve">Journal of Agriculture and Resource </w:t>
      </w:r>
      <w:proofErr w:type="spellStart"/>
      <w:r w:rsidR="0004582E" w:rsidRPr="004321E7">
        <w:rPr>
          <w:i/>
          <w:sz w:val="18"/>
          <w:szCs w:val="18"/>
          <w:lang w:val="fr-FR"/>
        </w:rPr>
        <w:t>Economics</w:t>
      </w:r>
      <w:proofErr w:type="spellEnd"/>
      <w:r w:rsidR="0004582E" w:rsidRPr="00451AFC">
        <w:rPr>
          <w:sz w:val="18"/>
          <w:szCs w:val="18"/>
          <w:lang w:val="fr-FR"/>
        </w:rPr>
        <w:t>, 18(1), 1-16.</w:t>
      </w:r>
    </w:p>
    <w:p w14:paraId="72B0F5EF" w14:textId="41891EE3"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COLE</w:t>
      </w:r>
      <w:r w:rsidR="0004582E" w:rsidRPr="003C704B">
        <w:rPr>
          <w:sz w:val="18"/>
          <w:szCs w:val="18"/>
          <w:lang w:val="fr-FR"/>
        </w:rPr>
        <w:t xml:space="preserve">, R.A. </w:t>
      </w:r>
      <w:r>
        <w:rPr>
          <w:sz w:val="18"/>
          <w:szCs w:val="18"/>
          <w:lang w:val="fr-FR"/>
        </w:rPr>
        <w:t>(</w:t>
      </w:r>
      <w:r w:rsidR="0004582E" w:rsidRPr="003C704B">
        <w:rPr>
          <w:sz w:val="18"/>
          <w:szCs w:val="18"/>
          <w:lang w:val="fr-FR"/>
        </w:rPr>
        <w:t>2013</w:t>
      </w:r>
      <w:r>
        <w:rPr>
          <w:sz w:val="18"/>
          <w:szCs w:val="18"/>
          <w:lang w:val="fr-FR"/>
        </w:rPr>
        <w:t>)</w:t>
      </w:r>
      <w:r w:rsidR="0004582E" w:rsidRPr="003C704B">
        <w:rPr>
          <w:sz w:val="18"/>
          <w:szCs w:val="18"/>
          <w:lang w:val="fr-FR"/>
        </w:rPr>
        <w:t xml:space="preserve">. </w:t>
      </w:r>
      <w:proofErr w:type="spellStart"/>
      <w:r w:rsidR="0004582E" w:rsidRPr="003C704B">
        <w:rPr>
          <w:sz w:val="18"/>
          <w:szCs w:val="18"/>
          <w:lang w:val="fr-FR"/>
        </w:rPr>
        <w:t>What</w:t>
      </w:r>
      <w:proofErr w:type="spellEnd"/>
      <w:r w:rsidR="0004582E" w:rsidRPr="003C704B">
        <w:rPr>
          <w:sz w:val="18"/>
          <w:szCs w:val="18"/>
          <w:lang w:val="fr-FR"/>
        </w:rPr>
        <w:t xml:space="preserve"> do </w:t>
      </w:r>
      <w:proofErr w:type="spellStart"/>
      <w:r w:rsidR="0004582E" w:rsidRPr="003C704B">
        <w:rPr>
          <w:sz w:val="18"/>
          <w:szCs w:val="18"/>
          <w:lang w:val="fr-FR"/>
        </w:rPr>
        <w:t>we</w:t>
      </w:r>
      <w:proofErr w:type="spellEnd"/>
      <w:r w:rsidR="0004582E" w:rsidRPr="003C704B">
        <w:rPr>
          <w:sz w:val="18"/>
          <w:szCs w:val="18"/>
          <w:lang w:val="fr-FR"/>
        </w:rPr>
        <w:t xml:space="preserve"> know about the capital structure of </w:t>
      </w:r>
      <w:proofErr w:type="spellStart"/>
      <w:r w:rsidR="0004582E" w:rsidRPr="003C704B">
        <w:rPr>
          <w:sz w:val="18"/>
          <w:szCs w:val="18"/>
          <w:lang w:val="fr-FR"/>
        </w:rPr>
        <w:t>privately</w:t>
      </w:r>
      <w:proofErr w:type="spellEnd"/>
      <w:r w:rsidR="0004582E" w:rsidRPr="003C704B">
        <w:rPr>
          <w:sz w:val="18"/>
          <w:szCs w:val="18"/>
          <w:lang w:val="fr-FR"/>
        </w:rPr>
        <w:t xml:space="preserve"> </w:t>
      </w:r>
      <w:proofErr w:type="spellStart"/>
      <w:r w:rsidR="0004582E" w:rsidRPr="003C704B">
        <w:rPr>
          <w:sz w:val="18"/>
          <w:szCs w:val="18"/>
          <w:lang w:val="fr-FR"/>
        </w:rPr>
        <w:t>held</w:t>
      </w:r>
      <w:proofErr w:type="spellEnd"/>
      <w:r w:rsidR="0004582E" w:rsidRPr="003C704B">
        <w:rPr>
          <w:sz w:val="18"/>
          <w:szCs w:val="18"/>
          <w:lang w:val="fr-FR"/>
        </w:rPr>
        <w:t xml:space="preserve"> US </w:t>
      </w:r>
      <w:proofErr w:type="spellStart"/>
      <w:r w:rsidR="0004582E" w:rsidRPr="003C704B">
        <w:rPr>
          <w:sz w:val="18"/>
          <w:szCs w:val="18"/>
          <w:lang w:val="fr-FR"/>
        </w:rPr>
        <w:t>firms</w:t>
      </w:r>
      <w:proofErr w:type="spellEnd"/>
      <w:r w:rsidR="0004582E" w:rsidRPr="003C704B">
        <w:rPr>
          <w:sz w:val="18"/>
          <w:szCs w:val="18"/>
          <w:lang w:val="fr-FR"/>
        </w:rPr>
        <w:t xml:space="preserve">? Evidence </w:t>
      </w:r>
      <w:proofErr w:type="spellStart"/>
      <w:r w:rsidR="0004582E" w:rsidRPr="003C704B">
        <w:rPr>
          <w:sz w:val="18"/>
          <w:szCs w:val="18"/>
          <w:lang w:val="fr-FR"/>
        </w:rPr>
        <w:t>from</w:t>
      </w:r>
      <w:proofErr w:type="spellEnd"/>
      <w:r w:rsidR="0004582E" w:rsidRPr="003C704B">
        <w:rPr>
          <w:sz w:val="18"/>
          <w:szCs w:val="18"/>
          <w:lang w:val="fr-FR"/>
        </w:rPr>
        <w:t xml:space="preserve"> the </w:t>
      </w:r>
      <w:proofErr w:type="spellStart"/>
      <w:r w:rsidR="0004582E" w:rsidRPr="003C704B">
        <w:rPr>
          <w:sz w:val="18"/>
          <w:szCs w:val="18"/>
          <w:lang w:val="fr-FR"/>
        </w:rPr>
        <w:t>surveys</w:t>
      </w:r>
      <w:proofErr w:type="spellEnd"/>
      <w:r w:rsidR="0004582E" w:rsidRPr="003C704B">
        <w:rPr>
          <w:sz w:val="18"/>
          <w:szCs w:val="18"/>
          <w:lang w:val="fr-FR"/>
        </w:rPr>
        <w:t xml:space="preserve"> of </w:t>
      </w:r>
      <w:proofErr w:type="spellStart"/>
      <w:r w:rsidR="0004582E" w:rsidRPr="003C704B">
        <w:rPr>
          <w:sz w:val="18"/>
          <w:szCs w:val="18"/>
          <w:lang w:val="fr-FR"/>
        </w:rPr>
        <w:t>small</w:t>
      </w:r>
      <w:proofErr w:type="spellEnd"/>
      <w:r w:rsidR="0004582E" w:rsidRPr="003C704B">
        <w:rPr>
          <w:sz w:val="18"/>
          <w:szCs w:val="18"/>
          <w:lang w:val="fr-FR"/>
        </w:rPr>
        <w:t xml:space="preserve"> business finance. </w:t>
      </w:r>
      <w:r w:rsidR="0004582E" w:rsidRPr="004321E7">
        <w:rPr>
          <w:i/>
          <w:sz w:val="18"/>
          <w:szCs w:val="18"/>
          <w:lang w:val="fr-FR"/>
        </w:rPr>
        <w:t>Financial Management,</w:t>
      </w:r>
      <w:r w:rsidR="0004582E" w:rsidRPr="003C704B">
        <w:rPr>
          <w:sz w:val="18"/>
          <w:szCs w:val="18"/>
          <w:lang w:val="fr-FR"/>
        </w:rPr>
        <w:t xml:space="preserve"> Winter, 777-813.</w:t>
      </w:r>
    </w:p>
    <w:p w14:paraId="09D7D806" w14:textId="354F1B70"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 xml:space="preserve">COOPERATIVAS AGRO-ALIMENTARIAS </w:t>
      </w:r>
      <w:r w:rsidR="0004582E" w:rsidRPr="003C704B">
        <w:rPr>
          <w:sz w:val="18"/>
          <w:szCs w:val="18"/>
          <w:lang w:val="fr-FR"/>
        </w:rPr>
        <w:t xml:space="preserve">(2013). OSCAE. </w:t>
      </w:r>
      <w:proofErr w:type="spellStart"/>
      <w:r w:rsidR="0004582E" w:rsidRPr="003C704B">
        <w:rPr>
          <w:sz w:val="18"/>
          <w:szCs w:val="18"/>
          <w:lang w:val="fr-FR"/>
        </w:rPr>
        <w:t>Observatorio</w:t>
      </w:r>
      <w:proofErr w:type="spellEnd"/>
      <w:r w:rsidR="0004582E" w:rsidRPr="003C704B">
        <w:rPr>
          <w:sz w:val="18"/>
          <w:szCs w:val="18"/>
          <w:lang w:val="fr-FR"/>
        </w:rPr>
        <w:t xml:space="preserve"> </w:t>
      </w:r>
      <w:proofErr w:type="spellStart"/>
      <w:r w:rsidR="0004582E" w:rsidRPr="003C704B">
        <w:rPr>
          <w:sz w:val="18"/>
          <w:szCs w:val="18"/>
          <w:lang w:val="fr-FR"/>
        </w:rPr>
        <w:t>socioeconómico</w:t>
      </w:r>
      <w:proofErr w:type="spellEnd"/>
      <w:r w:rsidR="0004582E" w:rsidRPr="003C704B">
        <w:rPr>
          <w:sz w:val="18"/>
          <w:szCs w:val="18"/>
          <w:lang w:val="fr-FR"/>
        </w:rPr>
        <w:t xml:space="preserve"> </w:t>
      </w:r>
      <w:proofErr w:type="spellStart"/>
      <w:r w:rsidR="0004582E" w:rsidRPr="003C704B">
        <w:rPr>
          <w:sz w:val="18"/>
          <w:szCs w:val="18"/>
          <w:lang w:val="fr-FR"/>
        </w:rPr>
        <w:t>del</w:t>
      </w:r>
      <w:proofErr w:type="spellEnd"/>
      <w:r w:rsidR="0004582E" w:rsidRPr="003C704B">
        <w:rPr>
          <w:sz w:val="18"/>
          <w:szCs w:val="18"/>
          <w:lang w:val="fr-FR"/>
        </w:rPr>
        <w:t xml:space="preserve"> </w:t>
      </w:r>
      <w:proofErr w:type="spellStart"/>
      <w:r w:rsidR="0004582E" w:rsidRPr="003C704B">
        <w:rPr>
          <w:sz w:val="18"/>
          <w:szCs w:val="18"/>
          <w:lang w:val="fr-FR"/>
        </w:rPr>
        <w:t>cooperativismo</w:t>
      </w:r>
      <w:proofErr w:type="spellEnd"/>
      <w:r w:rsidR="0004582E" w:rsidRPr="003C704B">
        <w:rPr>
          <w:sz w:val="18"/>
          <w:szCs w:val="18"/>
          <w:lang w:val="fr-FR"/>
        </w:rPr>
        <w:t xml:space="preserve"> </w:t>
      </w:r>
      <w:proofErr w:type="spellStart"/>
      <w:r w:rsidR="0004582E" w:rsidRPr="003C704B">
        <w:rPr>
          <w:sz w:val="18"/>
          <w:szCs w:val="18"/>
          <w:lang w:val="fr-FR"/>
        </w:rPr>
        <w:t>agrario</w:t>
      </w:r>
      <w:proofErr w:type="spellEnd"/>
      <w:r w:rsidR="0004582E" w:rsidRPr="003C704B">
        <w:rPr>
          <w:sz w:val="18"/>
          <w:szCs w:val="18"/>
          <w:lang w:val="fr-FR"/>
        </w:rPr>
        <w:t xml:space="preserve"> </w:t>
      </w:r>
      <w:proofErr w:type="spellStart"/>
      <w:r w:rsidR="0004582E" w:rsidRPr="003C704B">
        <w:rPr>
          <w:sz w:val="18"/>
          <w:szCs w:val="18"/>
          <w:lang w:val="fr-FR"/>
        </w:rPr>
        <w:t>español</w:t>
      </w:r>
      <w:proofErr w:type="spellEnd"/>
      <w:r w:rsidR="0004582E" w:rsidRPr="003C704B">
        <w:rPr>
          <w:sz w:val="18"/>
          <w:szCs w:val="18"/>
          <w:lang w:val="fr-FR"/>
        </w:rPr>
        <w:t xml:space="preserve">. </w:t>
      </w:r>
      <w:proofErr w:type="spellStart"/>
      <w:r w:rsidR="0004582E" w:rsidRPr="003C704B">
        <w:rPr>
          <w:sz w:val="18"/>
          <w:szCs w:val="18"/>
          <w:lang w:val="fr-FR"/>
        </w:rPr>
        <w:t>Macromagnitudes</w:t>
      </w:r>
      <w:proofErr w:type="spellEnd"/>
      <w:r w:rsidR="0004582E" w:rsidRPr="003C704B">
        <w:rPr>
          <w:sz w:val="18"/>
          <w:szCs w:val="18"/>
          <w:lang w:val="fr-FR"/>
        </w:rPr>
        <w:t xml:space="preserve"> </w:t>
      </w:r>
      <w:proofErr w:type="spellStart"/>
      <w:r w:rsidR="0004582E" w:rsidRPr="003C704B">
        <w:rPr>
          <w:sz w:val="18"/>
          <w:szCs w:val="18"/>
          <w:lang w:val="fr-FR"/>
        </w:rPr>
        <w:t>del</w:t>
      </w:r>
      <w:proofErr w:type="spellEnd"/>
      <w:r w:rsidR="0004582E" w:rsidRPr="003C704B">
        <w:rPr>
          <w:sz w:val="18"/>
          <w:szCs w:val="18"/>
          <w:lang w:val="fr-FR"/>
        </w:rPr>
        <w:t xml:space="preserve"> </w:t>
      </w:r>
      <w:proofErr w:type="spellStart"/>
      <w:r w:rsidR="0004582E" w:rsidRPr="003C704B">
        <w:rPr>
          <w:sz w:val="18"/>
          <w:szCs w:val="18"/>
          <w:lang w:val="fr-FR"/>
        </w:rPr>
        <w:t>cooperativismo</w:t>
      </w:r>
      <w:proofErr w:type="spellEnd"/>
      <w:r w:rsidR="0004582E" w:rsidRPr="003C704B">
        <w:rPr>
          <w:sz w:val="18"/>
          <w:szCs w:val="18"/>
          <w:lang w:val="fr-FR"/>
        </w:rPr>
        <w:t xml:space="preserve"> </w:t>
      </w:r>
      <w:proofErr w:type="spellStart"/>
      <w:r w:rsidR="0004582E" w:rsidRPr="003C704B">
        <w:rPr>
          <w:sz w:val="18"/>
          <w:szCs w:val="18"/>
          <w:lang w:val="fr-FR"/>
        </w:rPr>
        <w:t>agroalimentario</w:t>
      </w:r>
      <w:proofErr w:type="spellEnd"/>
      <w:r w:rsidR="0004582E" w:rsidRPr="003C704B">
        <w:rPr>
          <w:sz w:val="18"/>
          <w:szCs w:val="18"/>
          <w:lang w:val="fr-FR"/>
        </w:rPr>
        <w:t xml:space="preserve"> </w:t>
      </w:r>
      <w:proofErr w:type="spellStart"/>
      <w:r w:rsidR="0004582E" w:rsidRPr="003C704B">
        <w:rPr>
          <w:sz w:val="18"/>
          <w:szCs w:val="18"/>
          <w:lang w:val="fr-FR"/>
        </w:rPr>
        <w:t>español</w:t>
      </w:r>
      <w:proofErr w:type="spellEnd"/>
      <w:r w:rsidR="0004582E" w:rsidRPr="003C704B">
        <w:rPr>
          <w:sz w:val="18"/>
          <w:szCs w:val="18"/>
          <w:lang w:val="fr-FR"/>
        </w:rPr>
        <w:t xml:space="preserve">. </w:t>
      </w:r>
      <w:proofErr w:type="spellStart"/>
      <w:r w:rsidR="0004582E" w:rsidRPr="003C704B">
        <w:rPr>
          <w:sz w:val="18"/>
          <w:szCs w:val="18"/>
          <w:lang w:val="fr-FR"/>
        </w:rPr>
        <w:t>Available</w:t>
      </w:r>
      <w:proofErr w:type="spellEnd"/>
      <w:r w:rsidR="0004582E" w:rsidRPr="003C704B">
        <w:rPr>
          <w:sz w:val="18"/>
          <w:szCs w:val="18"/>
          <w:lang w:val="fr-FR"/>
        </w:rPr>
        <w:t xml:space="preserve"> </w:t>
      </w:r>
      <w:proofErr w:type="spellStart"/>
      <w:r w:rsidR="0004582E" w:rsidRPr="003C704B">
        <w:rPr>
          <w:sz w:val="18"/>
          <w:szCs w:val="18"/>
          <w:lang w:val="fr-FR"/>
        </w:rPr>
        <w:t>at</w:t>
      </w:r>
      <w:proofErr w:type="spellEnd"/>
      <w:r w:rsidR="0004582E" w:rsidRPr="003C704B">
        <w:rPr>
          <w:sz w:val="18"/>
          <w:szCs w:val="18"/>
          <w:lang w:val="fr-FR"/>
        </w:rPr>
        <w:t>: http://www.agro-alimentarias.coop/ficheros/doc/04281.pdf</w:t>
      </w:r>
    </w:p>
    <w:p w14:paraId="38871DF2" w14:textId="091B218F"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 xml:space="preserve">DE JONG, G.; VAN HOUTEN, J. </w:t>
      </w:r>
      <w:r>
        <w:rPr>
          <w:sz w:val="18"/>
          <w:szCs w:val="18"/>
          <w:lang w:val="fr-FR"/>
        </w:rPr>
        <w:t>(</w:t>
      </w:r>
      <w:r w:rsidR="0004582E" w:rsidRPr="003C704B">
        <w:rPr>
          <w:sz w:val="18"/>
          <w:szCs w:val="18"/>
          <w:lang w:val="fr-FR"/>
        </w:rPr>
        <w:t>2014</w:t>
      </w:r>
      <w:r>
        <w:rPr>
          <w:sz w:val="18"/>
          <w:szCs w:val="18"/>
          <w:lang w:val="fr-FR"/>
        </w:rPr>
        <w:t>)</w:t>
      </w:r>
      <w:r w:rsidR="0004582E" w:rsidRPr="003C704B">
        <w:rPr>
          <w:sz w:val="18"/>
          <w:szCs w:val="18"/>
          <w:lang w:val="fr-FR"/>
        </w:rPr>
        <w:t xml:space="preserve">. The impact of MNE cultural </w:t>
      </w:r>
      <w:proofErr w:type="spellStart"/>
      <w:r w:rsidR="0004582E" w:rsidRPr="003C704B">
        <w:rPr>
          <w:sz w:val="18"/>
          <w:szCs w:val="18"/>
          <w:lang w:val="fr-FR"/>
        </w:rPr>
        <w:t>diversity</w:t>
      </w:r>
      <w:proofErr w:type="spellEnd"/>
      <w:r w:rsidR="0004582E" w:rsidRPr="003C704B">
        <w:rPr>
          <w:sz w:val="18"/>
          <w:szCs w:val="18"/>
          <w:lang w:val="fr-FR"/>
        </w:rPr>
        <w:t xml:space="preserve"> on the </w:t>
      </w:r>
      <w:proofErr w:type="spellStart"/>
      <w:r w:rsidR="0004582E" w:rsidRPr="003C704B">
        <w:rPr>
          <w:sz w:val="18"/>
          <w:szCs w:val="18"/>
          <w:lang w:val="fr-FR"/>
        </w:rPr>
        <w:t>internacionalization</w:t>
      </w:r>
      <w:proofErr w:type="spellEnd"/>
      <w:r w:rsidR="0004582E" w:rsidRPr="003C704B">
        <w:rPr>
          <w:sz w:val="18"/>
          <w:szCs w:val="18"/>
          <w:lang w:val="fr-FR"/>
        </w:rPr>
        <w:t xml:space="preserve">-performance </w:t>
      </w:r>
      <w:proofErr w:type="spellStart"/>
      <w:r w:rsidR="0004582E" w:rsidRPr="003C704B">
        <w:rPr>
          <w:sz w:val="18"/>
          <w:szCs w:val="18"/>
          <w:lang w:val="fr-FR"/>
        </w:rPr>
        <w:t>relationship</w:t>
      </w:r>
      <w:proofErr w:type="spellEnd"/>
      <w:r w:rsidR="0004582E" w:rsidRPr="003C704B">
        <w:rPr>
          <w:sz w:val="18"/>
          <w:szCs w:val="18"/>
          <w:lang w:val="fr-FR"/>
        </w:rPr>
        <w:t xml:space="preserve">. </w:t>
      </w:r>
      <w:proofErr w:type="spellStart"/>
      <w:r w:rsidR="0004582E" w:rsidRPr="003C704B">
        <w:rPr>
          <w:sz w:val="18"/>
          <w:szCs w:val="18"/>
          <w:lang w:val="fr-FR"/>
        </w:rPr>
        <w:t>Theory</w:t>
      </w:r>
      <w:proofErr w:type="spellEnd"/>
      <w:r w:rsidR="0004582E" w:rsidRPr="003C704B">
        <w:rPr>
          <w:sz w:val="18"/>
          <w:szCs w:val="18"/>
          <w:lang w:val="fr-FR"/>
        </w:rPr>
        <w:t xml:space="preserve"> and </w:t>
      </w:r>
      <w:proofErr w:type="spellStart"/>
      <w:r w:rsidR="0004582E" w:rsidRPr="003C704B">
        <w:rPr>
          <w:sz w:val="18"/>
          <w:szCs w:val="18"/>
          <w:lang w:val="fr-FR"/>
        </w:rPr>
        <w:t>evidence</w:t>
      </w:r>
      <w:proofErr w:type="spellEnd"/>
      <w:r w:rsidR="0004582E" w:rsidRPr="003C704B">
        <w:rPr>
          <w:sz w:val="18"/>
          <w:szCs w:val="18"/>
          <w:lang w:val="fr-FR"/>
        </w:rPr>
        <w:t xml:space="preserve"> </w:t>
      </w:r>
      <w:proofErr w:type="spellStart"/>
      <w:r w:rsidR="0004582E" w:rsidRPr="003C704B">
        <w:rPr>
          <w:sz w:val="18"/>
          <w:szCs w:val="18"/>
          <w:lang w:val="fr-FR"/>
        </w:rPr>
        <w:t>from</w:t>
      </w:r>
      <w:proofErr w:type="spellEnd"/>
      <w:r w:rsidR="0004582E" w:rsidRPr="003C704B">
        <w:rPr>
          <w:sz w:val="18"/>
          <w:szCs w:val="18"/>
          <w:lang w:val="fr-FR"/>
        </w:rPr>
        <w:t xml:space="preserve"> </w:t>
      </w:r>
      <w:proofErr w:type="spellStart"/>
      <w:r w:rsidR="0004582E" w:rsidRPr="003C704B">
        <w:rPr>
          <w:sz w:val="18"/>
          <w:szCs w:val="18"/>
          <w:lang w:val="fr-FR"/>
        </w:rPr>
        <w:t>European</w:t>
      </w:r>
      <w:proofErr w:type="spellEnd"/>
      <w:r w:rsidR="0004582E" w:rsidRPr="003C704B">
        <w:rPr>
          <w:sz w:val="18"/>
          <w:szCs w:val="18"/>
          <w:lang w:val="fr-FR"/>
        </w:rPr>
        <w:t xml:space="preserve"> multinational </w:t>
      </w:r>
      <w:proofErr w:type="spellStart"/>
      <w:r w:rsidR="0004582E" w:rsidRPr="003C704B">
        <w:rPr>
          <w:sz w:val="18"/>
          <w:szCs w:val="18"/>
          <w:lang w:val="fr-FR"/>
        </w:rPr>
        <w:t>enterprises</w:t>
      </w:r>
      <w:proofErr w:type="spellEnd"/>
      <w:r w:rsidR="0004582E" w:rsidRPr="003C704B">
        <w:rPr>
          <w:sz w:val="18"/>
          <w:szCs w:val="18"/>
          <w:lang w:val="fr-FR"/>
        </w:rPr>
        <w:t xml:space="preserve">. </w:t>
      </w:r>
      <w:r w:rsidR="0004582E" w:rsidRPr="004321E7">
        <w:rPr>
          <w:i/>
          <w:sz w:val="18"/>
          <w:szCs w:val="18"/>
          <w:lang w:val="fr-FR"/>
        </w:rPr>
        <w:t xml:space="preserve">International Business </w:t>
      </w:r>
      <w:proofErr w:type="spellStart"/>
      <w:r w:rsidR="0004582E" w:rsidRPr="004321E7">
        <w:rPr>
          <w:i/>
          <w:sz w:val="18"/>
          <w:szCs w:val="18"/>
          <w:lang w:val="fr-FR"/>
        </w:rPr>
        <w:t>Review</w:t>
      </w:r>
      <w:proofErr w:type="spellEnd"/>
      <w:r w:rsidR="0004582E" w:rsidRPr="003C704B">
        <w:rPr>
          <w:sz w:val="18"/>
          <w:szCs w:val="18"/>
          <w:lang w:val="fr-FR"/>
        </w:rPr>
        <w:t>, 23, 313-326.</w:t>
      </w:r>
    </w:p>
    <w:p w14:paraId="3294967F" w14:textId="39F0DBEA"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 xml:space="preserve">DEANGELO, H. &amp; MASULIS, R. </w:t>
      </w:r>
      <w:r w:rsidR="0004582E" w:rsidRPr="003C704B">
        <w:rPr>
          <w:sz w:val="18"/>
          <w:szCs w:val="18"/>
          <w:lang w:val="fr-FR"/>
        </w:rPr>
        <w:t xml:space="preserve">(1980). Optimal capital structure </w:t>
      </w:r>
      <w:proofErr w:type="spellStart"/>
      <w:r w:rsidR="0004582E" w:rsidRPr="003C704B">
        <w:rPr>
          <w:sz w:val="18"/>
          <w:szCs w:val="18"/>
          <w:lang w:val="fr-FR"/>
        </w:rPr>
        <w:t>under</w:t>
      </w:r>
      <w:proofErr w:type="spellEnd"/>
      <w:r w:rsidR="0004582E" w:rsidRPr="003C704B">
        <w:rPr>
          <w:sz w:val="18"/>
          <w:szCs w:val="18"/>
          <w:lang w:val="fr-FR"/>
        </w:rPr>
        <w:t xml:space="preserve"> </w:t>
      </w:r>
      <w:proofErr w:type="spellStart"/>
      <w:r w:rsidR="0004582E" w:rsidRPr="003C704B">
        <w:rPr>
          <w:sz w:val="18"/>
          <w:szCs w:val="18"/>
          <w:lang w:val="fr-FR"/>
        </w:rPr>
        <w:t>corporate</w:t>
      </w:r>
      <w:proofErr w:type="spellEnd"/>
      <w:r w:rsidR="0004582E" w:rsidRPr="003C704B">
        <w:rPr>
          <w:sz w:val="18"/>
          <w:szCs w:val="18"/>
          <w:lang w:val="fr-FR"/>
        </w:rPr>
        <w:t xml:space="preserve"> and </w:t>
      </w:r>
      <w:proofErr w:type="spellStart"/>
      <w:r w:rsidR="0004582E" w:rsidRPr="003C704B">
        <w:rPr>
          <w:sz w:val="18"/>
          <w:szCs w:val="18"/>
          <w:lang w:val="fr-FR"/>
        </w:rPr>
        <w:t>personal</w:t>
      </w:r>
      <w:proofErr w:type="spellEnd"/>
      <w:r w:rsidR="0004582E" w:rsidRPr="003C704B">
        <w:rPr>
          <w:sz w:val="18"/>
          <w:szCs w:val="18"/>
          <w:lang w:val="fr-FR"/>
        </w:rPr>
        <w:t xml:space="preserve"> taxation. </w:t>
      </w:r>
      <w:r w:rsidR="0004582E" w:rsidRPr="004321E7">
        <w:rPr>
          <w:i/>
          <w:sz w:val="18"/>
          <w:szCs w:val="18"/>
          <w:lang w:val="fr-FR"/>
        </w:rPr>
        <w:t xml:space="preserve">Journal of Financial </w:t>
      </w:r>
      <w:proofErr w:type="spellStart"/>
      <w:r w:rsidR="0004582E" w:rsidRPr="004321E7">
        <w:rPr>
          <w:i/>
          <w:sz w:val="18"/>
          <w:szCs w:val="18"/>
          <w:lang w:val="fr-FR"/>
        </w:rPr>
        <w:t>Economics</w:t>
      </w:r>
      <w:proofErr w:type="spellEnd"/>
      <w:r w:rsidR="0004582E" w:rsidRPr="003C704B">
        <w:rPr>
          <w:sz w:val="18"/>
          <w:szCs w:val="18"/>
          <w:lang w:val="fr-FR"/>
        </w:rPr>
        <w:t>, 8, 3-29.</w:t>
      </w:r>
    </w:p>
    <w:p w14:paraId="095E47DA" w14:textId="0C030DD0"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DUNN</w:t>
      </w:r>
      <w:r w:rsidR="0004582E" w:rsidRPr="003C704B">
        <w:rPr>
          <w:sz w:val="18"/>
          <w:szCs w:val="18"/>
          <w:lang w:val="fr-FR"/>
        </w:rPr>
        <w:t xml:space="preserve">, J.R. </w:t>
      </w:r>
      <w:r>
        <w:rPr>
          <w:sz w:val="18"/>
          <w:szCs w:val="18"/>
          <w:lang w:val="fr-FR"/>
        </w:rPr>
        <w:t>(</w:t>
      </w:r>
      <w:r w:rsidR="0004582E" w:rsidRPr="003C704B">
        <w:rPr>
          <w:sz w:val="18"/>
          <w:szCs w:val="18"/>
          <w:lang w:val="fr-FR"/>
        </w:rPr>
        <w:t>1988</w:t>
      </w:r>
      <w:r>
        <w:rPr>
          <w:sz w:val="18"/>
          <w:szCs w:val="18"/>
          <w:lang w:val="fr-FR"/>
        </w:rPr>
        <w:t>)</w:t>
      </w:r>
      <w:r w:rsidR="0004582E" w:rsidRPr="003C704B">
        <w:rPr>
          <w:sz w:val="18"/>
          <w:szCs w:val="18"/>
          <w:lang w:val="fr-FR"/>
        </w:rPr>
        <w:t xml:space="preserve">. Basic </w:t>
      </w:r>
      <w:proofErr w:type="spellStart"/>
      <w:r w:rsidR="0004582E" w:rsidRPr="003C704B">
        <w:rPr>
          <w:sz w:val="18"/>
          <w:szCs w:val="18"/>
          <w:lang w:val="fr-FR"/>
        </w:rPr>
        <w:t>cooperative</w:t>
      </w:r>
      <w:proofErr w:type="spellEnd"/>
      <w:r w:rsidR="0004582E" w:rsidRPr="003C704B">
        <w:rPr>
          <w:sz w:val="18"/>
          <w:szCs w:val="18"/>
          <w:lang w:val="fr-FR"/>
        </w:rPr>
        <w:t xml:space="preserve"> </w:t>
      </w:r>
      <w:proofErr w:type="spellStart"/>
      <w:r w:rsidR="0004582E" w:rsidRPr="003C704B">
        <w:rPr>
          <w:sz w:val="18"/>
          <w:szCs w:val="18"/>
          <w:lang w:val="fr-FR"/>
        </w:rPr>
        <w:t>principles</w:t>
      </w:r>
      <w:proofErr w:type="spellEnd"/>
      <w:r w:rsidR="0004582E" w:rsidRPr="003C704B">
        <w:rPr>
          <w:sz w:val="18"/>
          <w:szCs w:val="18"/>
          <w:lang w:val="fr-FR"/>
        </w:rPr>
        <w:t xml:space="preserve"> and </w:t>
      </w:r>
      <w:proofErr w:type="spellStart"/>
      <w:r w:rsidR="0004582E" w:rsidRPr="003C704B">
        <w:rPr>
          <w:sz w:val="18"/>
          <w:szCs w:val="18"/>
          <w:lang w:val="fr-FR"/>
        </w:rPr>
        <w:t>their</w:t>
      </w:r>
      <w:proofErr w:type="spellEnd"/>
      <w:r w:rsidR="0004582E" w:rsidRPr="003C704B">
        <w:rPr>
          <w:sz w:val="18"/>
          <w:szCs w:val="18"/>
          <w:lang w:val="fr-FR"/>
        </w:rPr>
        <w:t xml:space="preserve"> </w:t>
      </w:r>
      <w:proofErr w:type="spellStart"/>
      <w:r w:rsidR="0004582E" w:rsidRPr="003C704B">
        <w:rPr>
          <w:sz w:val="18"/>
          <w:szCs w:val="18"/>
          <w:lang w:val="fr-FR"/>
        </w:rPr>
        <w:t>relationship</w:t>
      </w:r>
      <w:proofErr w:type="spellEnd"/>
      <w:r w:rsidR="0004582E" w:rsidRPr="003C704B">
        <w:rPr>
          <w:sz w:val="18"/>
          <w:szCs w:val="18"/>
          <w:lang w:val="fr-FR"/>
        </w:rPr>
        <w:t xml:space="preserve"> to </w:t>
      </w:r>
      <w:proofErr w:type="spellStart"/>
      <w:r w:rsidR="0004582E" w:rsidRPr="003C704B">
        <w:rPr>
          <w:sz w:val="18"/>
          <w:szCs w:val="18"/>
          <w:lang w:val="fr-FR"/>
        </w:rPr>
        <w:t>selected</w:t>
      </w:r>
      <w:proofErr w:type="spellEnd"/>
      <w:r w:rsidR="0004582E" w:rsidRPr="003C704B">
        <w:rPr>
          <w:sz w:val="18"/>
          <w:szCs w:val="18"/>
          <w:lang w:val="fr-FR"/>
        </w:rPr>
        <w:t xml:space="preserve"> practices. </w:t>
      </w:r>
      <w:r w:rsidR="0004582E" w:rsidRPr="004321E7">
        <w:rPr>
          <w:i/>
          <w:sz w:val="18"/>
          <w:szCs w:val="18"/>
          <w:lang w:val="fr-FR"/>
        </w:rPr>
        <w:t xml:space="preserve">Journal of Agricultural </w:t>
      </w:r>
      <w:proofErr w:type="spellStart"/>
      <w:r w:rsidR="0004582E" w:rsidRPr="004321E7">
        <w:rPr>
          <w:i/>
          <w:sz w:val="18"/>
          <w:szCs w:val="18"/>
          <w:lang w:val="fr-FR"/>
        </w:rPr>
        <w:t>Cooperation</w:t>
      </w:r>
      <w:proofErr w:type="spellEnd"/>
      <w:r w:rsidR="0004582E" w:rsidRPr="003C704B">
        <w:rPr>
          <w:sz w:val="18"/>
          <w:szCs w:val="18"/>
          <w:lang w:val="fr-FR"/>
        </w:rPr>
        <w:t xml:space="preserve">, 3, 83-93. </w:t>
      </w:r>
    </w:p>
    <w:p w14:paraId="00F73524" w14:textId="0A3C31C5"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FRANK, M. &amp; GOYAL</w:t>
      </w:r>
      <w:r w:rsidR="0004582E" w:rsidRPr="003C704B">
        <w:rPr>
          <w:sz w:val="18"/>
          <w:szCs w:val="18"/>
          <w:lang w:val="fr-FR"/>
        </w:rPr>
        <w:t xml:space="preserve">, V. (2009). Capital structure </w:t>
      </w:r>
      <w:proofErr w:type="spellStart"/>
      <w:proofErr w:type="gramStart"/>
      <w:r w:rsidR="0004582E" w:rsidRPr="003C704B">
        <w:rPr>
          <w:sz w:val="18"/>
          <w:szCs w:val="18"/>
          <w:lang w:val="fr-FR"/>
        </w:rPr>
        <w:t>decisions</w:t>
      </w:r>
      <w:proofErr w:type="spellEnd"/>
      <w:r w:rsidR="0004582E" w:rsidRPr="003C704B">
        <w:rPr>
          <w:sz w:val="18"/>
          <w:szCs w:val="18"/>
          <w:lang w:val="fr-FR"/>
        </w:rPr>
        <w:t>:</w:t>
      </w:r>
      <w:proofErr w:type="gramEnd"/>
      <w:r w:rsidR="0004582E" w:rsidRPr="003C704B">
        <w:rPr>
          <w:sz w:val="18"/>
          <w:szCs w:val="18"/>
          <w:lang w:val="fr-FR"/>
        </w:rPr>
        <w:t xml:space="preserve"> </w:t>
      </w:r>
      <w:proofErr w:type="spellStart"/>
      <w:r w:rsidR="0004582E" w:rsidRPr="003C704B">
        <w:rPr>
          <w:sz w:val="18"/>
          <w:szCs w:val="18"/>
          <w:lang w:val="fr-FR"/>
        </w:rPr>
        <w:t>which</w:t>
      </w:r>
      <w:proofErr w:type="spellEnd"/>
      <w:r w:rsidR="0004582E" w:rsidRPr="003C704B">
        <w:rPr>
          <w:sz w:val="18"/>
          <w:szCs w:val="18"/>
          <w:lang w:val="fr-FR"/>
        </w:rPr>
        <w:t xml:space="preserve"> </w:t>
      </w:r>
      <w:proofErr w:type="spellStart"/>
      <w:r w:rsidR="0004582E" w:rsidRPr="003C704B">
        <w:rPr>
          <w:sz w:val="18"/>
          <w:szCs w:val="18"/>
          <w:lang w:val="fr-FR"/>
        </w:rPr>
        <w:t>factors</w:t>
      </w:r>
      <w:proofErr w:type="spellEnd"/>
      <w:r w:rsidR="0004582E" w:rsidRPr="003C704B">
        <w:rPr>
          <w:sz w:val="18"/>
          <w:szCs w:val="18"/>
          <w:lang w:val="fr-FR"/>
        </w:rPr>
        <w:t xml:space="preserve"> are </w:t>
      </w:r>
      <w:proofErr w:type="spellStart"/>
      <w:r w:rsidR="0004582E" w:rsidRPr="003C704B">
        <w:rPr>
          <w:sz w:val="18"/>
          <w:szCs w:val="18"/>
          <w:lang w:val="fr-FR"/>
        </w:rPr>
        <w:t>reliably</w:t>
      </w:r>
      <w:proofErr w:type="spellEnd"/>
      <w:r w:rsidR="0004582E" w:rsidRPr="003C704B">
        <w:rPr>
          <w:sz w:val="18"/>
          <w:szCs w:val="18"/>
          <w:lang w:val="fr-FR"/>
        </w:rPr>
        <w:t xml:space="preserve"> important?. </w:t>
      </w:r>
      <w:r w:rsidR="0004582E" w:rsidRPr="004321E7">
        <w:rPr>
          <w:i/>
          <w:sz w:val="18"/>
          <w:szCs w:val="18"/>
          <w:lang w:val="fr-FR"/>
        </w:rPr>
        <w:t>Financial Management</w:t>
      </w:r>
      <w:r w:rsidR="0004582E" w:rsidRPr="003C704B">
        <w:rPr>
          <w:sz w:val="18"/>
          <w:szCs w:val="18"/>
          <w:lang w:val="fr-FR"/>
        </w:rPr>
        <w:t xml:space="preserve"> 38, 1-37.</w:t>
      </w:r>
    </w:p>
    <w:p w14:paraId="26BE495F" w14:textId="4E034482"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 xml:space="preserve">GRAHAM, J. &amp; HARVEY, C. </w:t>
      </w:r>
      <w:r w:rsidR="0004582E" w:rsidRPr="003C704B">
        <w:rPr>
          <w:sz w:val="18"/>
          <w:szCs w:val="18"/>
          <w:lang w:val="fr-FR"/>
        </w:rPr>
        <w:t xml:space="preserve">(2001). The </w:t>
      </w:r>
      <w:proofErr w:type="spellStart"/>
      <w:r w:rsidR="0004582E" w:rsidRPr="003C704B">
        <w:rPr>
          <w:sz w:val="18"/>
          <w:szCs w:val="18"/>
          <w:lang w:val="fr-FR"/>
        </w:rPr>
        <w:t>theory</w:t>
      </w:r>
      <w:proofErr w:type="spellEnd"/>
      <w:r w:rsidR="0004582E" w:rsidRPr="003C704B">
        <w:rPr>
          <w:sz w:val="18"/>
          <w:szCs w:val="18"/>
          <w:lang w:val="fr-FR"/>
        </w:rPr>
        <w:t xml:space="preserve"> and practice of </w:t>
      </w:r>
      <w:proofErr w:type="spellStart"/>
      <w:r w:rsidR="0004582E" w:rsidRPr="003C704B">
        <w:rPr>
          <w:sz w:val="18"/>
          <w:szCs w:val="18"/>
          <w:lang w:val="fr-FR"/>
        </w:rPr>
        <w:t>corporate</w:t>
      </w:r>
      <w:proofErr w:type="spellEnd"/>
      <w:r w:rsidR="0004582E" w:rsidRPr="003C704B">
        <w:rPr>
          <w:sz w:val="18"/>
          <w:szCs w:val="18"/>
          <w:lang w:val="fr-FR"/>
        </w:rPr>
        <w:t xml:space="preserve"> finance: </w:t>
      </w:r>
      <w:proofErr w:type="spellStart"/>
      <w:r w:rsidR="0004582E" w:rsidRPr="003C704B">
        <w:rPr>
          <w:sz w:val="18"/>
          <w:szCs w:val="18"/>
          <w:lang w:val="fr-FR"/>
        </w:rPr>
        <w:t>evidence</w:t>
      </w:r>
      <w:proofErr w:type="spellEnd"/>
      <w:r w:rsidR="0004582E" w:rsidRPr="003C704B">
        <w:rPr>
          <w:sz w:val="18"/>
          <w:szCs w:val="18"/>
          <w:lang w:val="fr-FR"/>
        </w:rPr>
        <w:t xml:space="preserve"> </w:t>
      </w:r>
      <w:proofErr w:type="spellStart"/>
      <w:r w:rsidR="0004582E" w:rsidRPr="003C704B">
        <w:rPr>
          <w:sz w:val="18"/>
          <w:szCs w:val="18"/>
          <w:lang w:val="fr-FR"/>
        </w:rPr>
        <w:t>from</w:t>
      </w:r>
      <w:proofErr w:type="spellEnd"/>
      <w:r w:rsidR="0004582E" w:rsidRPr="003C704B">
        <w:rPr>
          <w:sz w:val="18"/>
          <w:szCs w:val="18"/>
          <w:lang w:val="fr-FR"/>
        </w:rPr>
        <w:t xml:space="preserve"> the </w:t>
      </w:r>
      <w:proofErr w:type="spellStart"/>
      <w:r w:rsidR="0004582E" w:rsidRPr="003C704B">
        <w:rPr>
          <w:sz w:val="18"/>
          <w:szCs w:val="18"/>
          <w:lang w:val="fr-FR"/>
        </w:rPr>
        <w:t>field</w:t>
      </w:r>
      <w:proofErr w:type="spellEnd"/>
      <w:r w:rsidR="0004582E" w:rsidRPr="003C704B">
        <w:rPr>
          <w:sz w:val="18"/>
          <w:szCs w:val="18"/>
          <w:lang w:val="fr-FR"/>
        </w:rPr>
        <w:t xml:space="preserve">. </w:t>
      </w:r>
      <w:r w:rsidR="0004582E" w:rsidRPr="004321E7">
        <w:rPr>
          <w:i/>
          <w:sz w:val="18"/>
          <w:szCs w:val="18"/>
          <w:lang w:val="fr-FR"/>
        </w:rPr>
        <w:t xml:space="preserve">Journal of Financial </w:t>
      </w:r>
      <w:proofErr w:type="spellStart"/>
      <w:r w:rsidR="0004582E" w:rsidRPr="004321E7">
        <w:rPr>
          <w:i/>
          <w:sz w:val="18"/>
          <w:szCs w:val="18"/>
          <w:lang w:val="fr-FR"/>
        </w:rPr>
        <w:t>Economics</w:t>
      </w:r>
      <w:proofErr w:type="spellEnd"/>
      <w:r w:rsidR="0004582E" w:rsidRPr="003C704B">
        <w:rPr>
          <w:sz w:val="18"/>
          <w:szCs w:val="18"/>
          <w:lang w:val="fr-FR"/>
        </w:rPr>
        <w:t>, 60 (2-3), 187-243.</w:t>
      </w:r>
    </w:p>
    <w:p w14:paraId="6D118A31" w14:textId="7402F015"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HAILU, G.; GODDARD, E.W. &amp; JEFFREY, J.</w:t>
      </w:r>
      <w:r w:rsidR="0004582E" w:rsidRPr="003C704B">
        <w:rPr>
          <w:sz w:val="18"/>
          <w:szCs w:val="18"/>
          <w:lang w:val="fr-FR"/>
        </w:rPr>
        <w:t xml:space="preserve">S. (2005). </w:t>
      </w:r>
      <w:proofErr w:type="spellStart"/>
      <w:r w:rsidR="0004582E" w:rsidRPr="003C704B">
        <w:rPr>
          <w:sz w:val="18"/>
          <w:szCs w:val="18"/>
          <w:lang w:val="fr-FR"/>
        </w:rPr>
        <w:t>Measuring</w:t>
      </w:r>
      <w:proofErr w:type="spellEnd"/>
      <w:r w:rsidR="0004582E" w:rsidRPr="003C704B">
        <w:rPr>
          <w:sz w:val="18"/>
          <w:szCs w:val="18"/>
          <w:lang w:val="fr-FR"/>
        </w:rPr>
        <w:t xml:space="preserve"> </w:t>
      </w:r>
      <w:proofErr w:type="spellStart"/>
      <w:r w:rsidR="0004582E" w:rsidRPr="003C704B">
        <w:rPr>
          <w:sz w:val="18"/>
          <w:szCs w:val="18"/>
          <w:lang w:val="fr-FR"/>
        </w:rPr>
        <w:t>efficiency</w:t>
      </w:r>
      <w:proofErr w:type="spellEnd"/>
      <w:r w:rsidR="0004582E" w:rsidRPr="003C704B">
        <w:rPr>
          <w:sz w:val="18"/>
          <w:szCs w:val="18"/>
          <w:lang w:val="fr-FR"/>
        </w:rPr>
        <w:t xml:space="preserve"> in fruit and </w:t>
      </w:r>
      <w:proofErr w:type="spellStart"/>
      <w:r w:rsidR="0004582E" w:rsidRPr="003C704B">
        <w:rPr>
          <w:sz w:val="18"/>
          <w:szCs w:val="18"/>
          <w:lang w:val="fr-FR"/>
        </w:rPr>
        <w:t>vegetable</w:t>
      </w:r>
      <w:proofErr w:type="spellEnd"/>
      <w:r w:rsidR="0004582E" w:rsidRPr="003C704B">
        <w:rPr>
          <w:sz w:val="18"/>
          <w:szCs w:val="18"/>
          <w:lang w:val="fr-FR"/>
        </w:rPr>
        <w:t xml:space="preserve"> </w:t>
      </w:r>
      <w:proofErr w:type="spellStart"/>
      <w:r w:rsidR="0004582E" w:rsidRPr="003C704B">
        <w:rPr>
          <w:sz w:val="18"/>
          <w:szCs w:val="18"/>
          <w:lang w:val="fr-FR"/>
        </w:rPr>
        <w:t>co-operatives</w:t>
      </w:r>
      <w:proofErr w:type="spellEnd"/>
      <w:r w:rsidR="0004582E" w:rsidRPr="003C704B">
        <w:rPr>
          <w:sz w:val="18"/>
          <w:szCs w:val="18"/>
          <w:lang w:val="fr-FR"/>
        </w:rPr>
        <w:t xml:space="preserve"> </w:t>
      </w:r>
      <w:proofErr w:type="spellStart"/>
      <w:r w:rsidR="0004582E" w:rsidRPr="003C704B">
        <w:rPr>
          <w:sz w:val="18"/>
          <w:szCs w:val="18"/>
          <w:lang w:val="fr-FR"/>
        </w:rPr>
        <w:t>with</w:t>
      </w:r>
      <w:proofErr w:type="spellEnd"/>
      <w:r w:rsidR="0004582E" w:rsidRPr="003C704B">
        <w:rPr>
          <w:sz w:val="18"/>
          <w:szCs w:val="18"/>
          <w:lang w:val="fr-FR"/>
        </w:rPr>
        <w:t xml:space="preserve"> </w:t>
      </w:r>
      <w:proofErr w:type="spellStart"/>
      <w:r w:rsidR="0004582E" w:rsidRPr="003C704B">
        <w:rPr>
          <w:sz w:val="18"/>
          <w:szCs w:val="18"/>
          <w:lang w:val="fr-FR"/>
        </w:rPr>
        <w:t>heterogeneous</w:t>
      </w:r>
      <w:proofErr w:type="spellEnd"/>
      <w:r w:rsidR="0004582E" w:rsidRPr="003C704B">
        <w:rPr>
          <w:sz w:val="18"/>
          <w:szCs w:val="18"/>
          <w:lang w:val="fr-FR"/>
        </w:rPr>
        <w:t xml:space="preserve"> technologies in Canada. American Agricultural </w:t>
      </w:r>
      <w:proofErr w:type="spellStart"/>
      <w:r w:rsidR="0004582E" w:rsidRPr="003C704B">
        <w:rPr>
          <w:sz w:val="18"/>
          <w:szCs w:val="18"/>
          <w:lang w:val="fr-FR"/>
        </w:rPr>
        <w:t>Economics</w:t>
      </w:r>
      <w:proofErr w:type="spellEnd"/>
      <w:r w:rsidR="0004582E" w:rsidRPr="003C704B">
        <w:rPr>
          <w:sz w:val="18"/>
          <w:szCs w:val="18"/>
          <w:lang w:val="fr-FR"/>
        </w:rPr>
        <w:t xml:space="preserve"> Association </w:t>
      </w:r>
      <w:proofErr w:type="spellStart"/>
      <w:r w:rsidR="0004582E" w:rsidRPr="003C704B">
        <w:rPr>
          <w:sz w:val="18"/>
          <w:szCs w:val="18"/>
          <w:lang w:val="fr-FR"/>
        </w:rPr>
        <w:t>Annual</w:t>
      </w:r>
      <w:proofErr w:type="spellEnd"/>
      <w:r w:rsidR="0004582E" w:rsidRPr="003C704B">
        <w:rPr>
          <w:sz w:val="18"/>
          <w:szCs w:val="18"/>
          <w:lang w:val="fr-FR"/>
        </w:rPr>
        <w:t xml:space="preserve"> Meeting, July, Long Beach.</w:t>
      </w:r>
    </w:p>
    <w:p w14:paraId="54EF667C" w14:textId="33202726"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HARRIS, M. &amp; RAVIV</w:t>
      </w:r>
      <w:r w:rsidR="0004582E" w:rsidRPr="003C704B">
        <w:rPr>
          <w:sz w:val="18"/>
          <w:szCs w:val="18"/>
          <w:lang w:val="fr-FR"/>
        </w:rPr>
        <w:t xml:space="preserve">, A. (1991). The </w:t>
      </w:r>
      <w:proofErr w:type="spellStart"/>
      <w:r w:rsidR="0004582E" w:rsidRPr="003C704B">
        <w:rPr>
          <w:sz w:val="18"/>
          <w:szCs w:val="18"/>
          <w:lang w:val="fr-FR"/>
        </w:rPr>
        <w:t>Theory</w:t>
      </w:r>
      <w:proofErr w:type="spellEnd"/>
      <w:r w:rsidR="0004582E" w:rsidRPr="003C704B">
        <w:rPr>
          <w:sz w:val="18"/>
          <w:szCs w:val="18"/>
          <w:lang w:val="fr-FR"/>
        </w:rPr>
        <w:t xml:space="preserve"> of Capital Structure. </w:t>
      </w:r>
      <w:r w:rsidR="0004582E" w:rsidRPr="004321E7">
        <w:rPr>
          <w:i/>
          <w:sz w:val="18"/>
          <w:szCs w:val="18"/>
          <w:lang w:val="fr-FR"/>
        </w:rPr>
        <w:t>Journal of Finance</w:t>
      </w:r>
      <w:r w:rsidR="0004582E" w:rsidRPr="003C704B">
        <w:rPr>
          <w:sz w:val="18"/>
          <w:szCs w:val="18"/>
          <w:lang w:val="fr-FR"/>
        </w:rPr>
        <w:t>, 46, 297-356. </w:t>
      </w:r>
    </w:p>
    <w:p w14:paraId="7F3B7BD5" w14:textId="7091915A"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HEYDER, M.; MAKUS, C.; THEUVSEN</w:t>
      </w:r>
      <w:r w:rsidR="0004582E" w:rsidRPr="003C704B">
        <w:rPr>
          <w:sz w:val="18"/>
          <w:szCs w:val="18"/>
          <w:lang w:val="fr-FR"/>
        </w:rPr>
        <w:t xml:space="preserve">, L. </w:t>
      </w:r>
      <w:r>
        <w:rPr>
          <w:sz w:val="18"/>
          <w:szCs w:val="18"/>
          <w:lang w:val="fr-FR"/>
        </w:rPr>
        <w:t>(</w:t>
      </w:r>
      <w:r w:rsidR="0004582E" w:rsidRPr="003C704B">
        <w:rPr>
          <w:sz w:val="18"/>
          <w:szCs w:val="18"/>
          <w:lang w:val="fr-FR"/>
        </w:rPr>
        <w:t>2011</w:t>
      </w:r>
      <w:r>
        <w:rPr>
          <w:sz w:val="18"/>
          <w:szCs w:val="18"/>
          <w:lang w:val="fr-FR"/>
        </w:rPr>
        <w:t>)</w:t>
      </w:r>
      <w:r w:rsidR="0004582E" w:rsidRPr="003C704B">
        <w:rPr>
          <w:sz w:val="18"/>
          <w:szCs w:val="18"/>
          <w:lang w:val="fr-FR"/>
        </w:rPr>
        <w:t xml:space="preserve">. </w:t>
      </w:r>
      <w:proofErr w:type="spellStart"/>
      <w:r w:rsidR="0004582E" w:rsidRPr="003C704B">
        <w:rPr>
          <w:sz w:val="18"/>
          <w:szCs w:val="18"/>
          <w:lang w:val="fr-FR"/>
        </w:rPr>
        <w:t>Internacionalization</w:t>
      </w:r>
      <w:proofErr w:type="spellEnd"/>
      <w:r w:rsidR="0004582E" w:rsidRPr="003C704B">
        <w:rPr>
          <w:sz w:val="18"/>
          <w:szCs w:val="18"/>
          <w:lang w:val="fr-FR"/>
        </w:rPr>
        <w:t xml:space="preserve"> and </w:t>
      </w:r>
      <w:proofErr w:type="spellStart"/>
      <w:r w:rsidR="0004582E" w:rsidRPr="003C704B">
        <w:rPr>
          <w:sz w:val="18"/>
          <w:szCs w:val="18"/>
          <w:lang w:val="fr-FR"/>
        </w:rPr>
        <w:t>firm</w:t>
      </w:r>
      <w:proofErr w:type="spellEnd"/>
      <w:r w:rsidR="0004582E" w:rsidRPr="003C704B">
        <w:rPr>
          <w:sz w:val="18"/>
          <w:szCs w:val="18"/>
          <w:lang w:val="fr-FR"/>
        </w:rPr>
        <w:t xml:space="preserve"> performance in </w:t>
      </w:r>
      <w:proofErr w:type="spellStart"/>
      <w:r w:rsidR="0004582E" w:rsidRPr="003C704B">
        <w:rPr>
          <w:sz w:val="18"/>
          <w:szCs w:val="18"/>
          <w:lang w:val="fr-FR"/>
        </w:rPr>
        <w:t>agribusiness</w:t>
      </w:r>
      <w:proofErr w:type="spellEnd"/>
      <w:r w:rsidR="0004582E" w:rsidRPr="003C704B">
        <w:rPr>
          <w:sz w:val="18"/>
          <w:szCs w:val="18"/>
          <w:lang w:val="fr-FR"/>
        </w:rPr>
        <w:t xml:space="preserve">: </w:t>
      </w:r>
      <w:proofErr w:type="spellStart"/>
      <w:r w:rsidR="0004582E" w:rsidRPr="003C704B">
        <w:rPr>
          <w:sz w:val="18"/>
          <w:szCs w:val="18"/>
          <w:lang w:val="fr-FR"/>
        </w:rPr>
        <w:t>empirical</w:t>
      </w:r>
      <w:proofErr w:type="spellEnd"/>
      <w:r w:rsidR="0004582E" w:rsidRPr="003C704B">
        <w:rPr>
          <w:sz w:val="18"/>
          <w:szCs w:val="18"/>
          <w:lang w:val="fr-FR"/>
        </w:rPr>
        <w:t xml:space="preserve"> </w:t>
      </w:r>
      <w:proofErr w:type="spellStart"/>
      <w:r w:rsidR="0004582E" w:rsidRPr="003C704B">
        <w:rPr>
          <w:sz w:val="18"/>
          <w:szCs w:val="18"/>
          <w:lang w:val="fr-FR"/>
        </w:rPr>
        <w:t>evidence</w:t>
      </w:r>
      <w:proofErr w:type="spellEnd"/>
      <w:r w:rsidR="0004582E" w:rsidRPr="003C704B">
        <w:rPr>
          <w:sz w:val="18"/>
          <w:szCs w:val="18"/>
          <w:lang w:val="fr-FR"/>
        </w:rPr>
        <w:t xml:space="preserve"> </w:t>
      </w:r>
      <w:proofErr w:type="spellStart"/>
      <w:r w:rsidR="0004582E" w:rsidRPr="003C704B">
        <w:rPr>
          <w:sz w:val="18"/>
          <w:szCs w:val="18"/>
          <w:lang w:val="fr-FR"/>
        </w:rPr>
        <w:t>from</w:t>
      </w:r>
      <w:proofErr w:type="spellEnd"/>
      <w:r w:rsidR="0004582E" w:rsidRPr="003C704B">
        <w:rPr>
          <w:sz w:val="18"/>
          <w:szCs w:val="18"/>
          <w:lang w:val="fr-FR"/>
        </w:rPr>
        <w:t xml:space="preserve"> </w:t>
      </w:r>
      <w:proofErr w:type="spellStart"/>
      <w:r w:rsidR="0004582E" w:rsidRPr="003C704B">
        <w:rPr>
          <w:sz w:val="18"/>
          <w:szCs w:val="18"/>
          <w:lang w:val="fr-FR"/>
        </w:rPr>
        <w:t>European</w:t>
      </w:r>
      <w:proofErr w:type="spellEnd"/>
      <w:r w:rsidR="0004582E" w:rsidRPr="003C704B">
        <w:rPr>
          <w:sz w:val="18"/>
          <w:szCs w:val="18"/>
          <w:lang w:val="fr-FR"/>
        </w:rPr>
        <w:t xml:space="preserve"> </w:t>
      </w:r>
      <w:proofErr w:type="spellStart"/>
      <w:r w:rsidR="0004582E" w:rsidRPr="003C704B">
        <w:rPr>
          <w:sz w:val="18"/>
          <w:szCs w:val="18"/>
          <w:lang w:val="fr-FR"/>
        </w:rPr>
        <w:t>cooperatives</w:t>
      </w:r>
      <w:proofErr w:type="spellEnd"/>
      <w:r w:rsidR="0004582E" w:rsidRPr="003C704B">
        <w:rPr>
          <w:sz w:val="18"/>
          <w:szCs w:val="18"/>
          <w:lang w:val="fr-FR"/>
        </w:rPr>
        <w:t xml:space="preserve">. </w:t>
      </w:r>
      <w:r w:rsidR="0004582E" w:rsidRPr="004321E7">
        <w:rPr>
          <w:i/>
          <w:sz w:val="18"/>
          <w:szCs w:val="18"/>
          <w:lang w:val="fr-FR"/>
        </w:rPr>
        <w:t>International Journal on Food System Dynamics</w:t>
      </w:r>
      <w:r w:rsidR="0004582E" w:rsidRPr="003C704B">
        <w:rPr>
          <w:sz w:val="18"/>
          <w:szCs w:val="18"/>
          <w:lang w:val="fr-FR"/>
        </w:rPr>
        <w:t>, 2(1), 77-93.</w:t>
      </w:r>
    </w:p>
    <w:p w14:paraId="280AA3F3" w14:textId="64542EE7"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 xml:space="preserve">HÖHLER, J.; KÜHL, </w:t>
      </w:r>
      <w:r w:rsidR="0004582E" w:rsidRPr="003C704B">
        <w:rPr>
          <w:sz w:val="18"/>
          <w:szCs w:val="18"/>
          <w:lang w:val="fr-FR"/>
        </w:rPr>
        <w:t xml:space="preserve">R. </w:t>
      </w:r>
      <w:r>
        <w:rPr>
          <w:sz w:val="18"/>
          <w:szCs w:val="18"/>
          <w:lang w:val="fr-FR"/>
        </w:rPr>
        <w:t>(</w:t>
      </w:r>
      <w:r w:rsidR="0004582E" w:rsidRPr="003C704B">
        <w:rPr>
          <w:sz w:val="18"/>
          <w:szCs w:val="18"/>
          <w:lang w:val="fr-FR"/>
        </w:rPr>
        <w:t>2014</w:t>
      </w:r>
      <w:r>
        <w:rPr>
          <w:sz w:val="18"/>
          <w:szCs w:val="18"/>
          <w:lang w:val="fr-FR"/>
        </w:rPr>
        <w:t>)</w:t>
      </w:r>
      <w:r w:rsidR="0004582E" w:rsidRPr="003C704B">
        <w:rPr>
          <w:sz w:val="18"/>
          <w:szCs w:val="18"/>
          <w:lang w:val="fr-FR"/>
        </w:rPr>
        <w:t xml:space="preserve">. Position and performance of </w:t>
      </w:r>
      <w:proofErr w:type="spellStart"/>
      <w:r w:rsidR="0004582E" w:rsidRPr="003C704B">
        <w:rPr>
          <w:sz w:val="18"/>
          <w:szCs w:val="18"/>
          <w:lang w:val="fr-FR"/>
        </w:rPr>
        <w:t>farmer</w:t>
      </w:r>
      <w:proofErr w:type="spellEnd"/>
      <w:r w:rsidR="0004582E" w:rsidRPr="003C704B">
        <w:rPr>
          <w:sz w:val="18"/>
          <w:szCs w:val="18"/>
          <w:lang w:val="fr-FR"/>
        </w:rPr>
        <w:t xml:space="preserve"> </w:t>
      </w:r>
      <w:proofErr w:type="spellStart"/>
      <w:r w:rsidR="0004582E" w:rsidRPr="003C704B">
        <w:rPr>
          <w:sz w:val="18"/>
          <w:szCs w:val="18"/>
          <w:lang w:val="fr-FR"/>
        </w:rPr>
        <w:t>cooperatives</w:t>
      </w:r>
      <w:proofErr w:type="spellEnd"/>
      <w:r w:rsidR="0004582E" w:rsidRPr="003C704B">
        <w:rPr>
          <w:sz w:val="18"/>
          <w:szCs w:val="18"/>
          <w:lang w:val="fr-FR"/>
        </w:rPr>
        <w:t xml:space="preserve"> in the </w:t>
      </w:r>
      <w:proofErr w:type="spellStart"/>
      <w:r w:rsidR="0004582E" w:rsidRPr="003C704B">
        <w:rPr>
          <w:sz w:val="18"/>
          <w:szCs w:val="18"/>
          <w:lang w:val="fr-FR"/>
        </w:rPr>
        <w:t>food</w:t>
      </w:r>
      <w:proofErr w:type="spellEnd"/>
      <w:r w:rsidR="0004582E" w:rsidRPr="003C704B">
        <w:rPr>
          <w:sz w:val="18"/>
          <w:szCs w:val="18"/>
          <w:lang w:val="fr-FR"/>
        </w:rPr>
        <w:t xml:space="preserve"> </w:t>
      </w:r>
      <w:proofErr w:type="spellStart"/>
      <w:r w:rsidR="0004582E" w:rsidRPr="003C704B">
        <w:rPr>
          <w:sz w:val="18"/>
          <w:szCs w:val="18"/>
          <w:lang w:val="fr-FR"/>
        </w:rPr>
        <w:t>supply</w:t>
      </w:r>
      <w:proofErr w:type="spellEnd"/>
      <w:r w:rsidR="0004582E" w:rsidRPr="003C704B">
        <w:rPr>
          <w:sz w:val="18"/>
          <w:szCs w:val="18"/>
          <w:lang w:val="fr-FR"/>
        </w:rPr>
        <w:t xml:space="preserve"> </w:t>
      </w:r>
      <w:proofErr w:type="spellStart"/>
      <w:r w:rsidR="0004582E" w:rsidRPr="003C704B">
        <w:rPr>
          <w:sz w:val="18"/>
          <w:szCs w:val="18"/>
          <w:lang w:val="fr-FR"/>
        </w:rPr>
        <w:t>chain</w:t>
      </w:r>
      <w:proofErr w:type="spellEnd"/>
      <w:r w:rsidR="0004582E" w:rsidRPr="003C704B">
        <w:rPr>
          <w:sz w:val="18"/>
          <w:szCs w:val="18"/>
          <w:lang w:val="fr-FR"/>
        </w:rPr>
        <w:t xml:space="preserve"> of the EU-27. </w:t>
      </w:r>
      <w:proofErr w:type="spellStart"/>
      <w:r w:rsidR="004321E7">
        <w:rPr>
          <w:i/>
          <w:sz w:val="18"/>
          <w:szCs w:val="18"/>
          <w:lang w:val="fr-FR"/>
        </w:rPr>
        <w:t>Annals</w:t>
      </w:r>
      <w:proofErr w:type="spellEnd"/>
      <w:r w:rsidR="004321E7">
        <w:rPr>
          <w:i/>
          <w:sz w:val="18"/>
          <w:szCs w:val="18"/>
          <w:lang w:val="fr-FR"/>
        </w:rPr>
        <w:t xml:space="preserve"> of</w:t>
      </w:r>
      <w:r w:rsidR="0004582E" w:rsidRPr="004321E7">
        <w:rPr>
          <w:i/>
          <w:sz w:val="18"/>
          <w:szCs w:val="18"/>
          <w:lang w:val="fr-FR"/>
        </w:rPr>
        <w:t xml:space="preserve"> Public and </w:t>
      </w:r>
      <w:proofErr w:type="spellStart"/>
      <w:r w:rsidR="0004582E" w:rsidRPr="004321E7">
        <w:rPr>
          <w:i/>
          <w:sz w:val="18"/>
          <w:szCs w:val="18"/>
          <w:lang w:val="fr-FR"/>
        </w:rPr>
        <w:t>Cooperative</w:t>
      </w:r>
      <w:proofErr w:type="spellEnd"/>
      <w:r w:rsidR="0004582E" w:rsidRPr="004321E7">
        <w:rPr>
          <w:i/>
          <w:sz w:val="18"/>
          <w:szCs w:val="18"/>
          <w:lang w:val="fr-FR"/>
        </w:rPr>
        <w:t xml:space="preserve"> </w:t>
      </w:r>
      <w:proofErr w:type="spellStart"/>
      <w:r w:rsidR="0004582E" w:rsidRPr="004321E7">
        <w:rPr>
          <w:i/>
          <w:sz w:val="18"/>
          <w:szCs w:val="18"/>
          <w:lang w:val="fr-FR"/>
        </w:rPr>
        <w:t>Economic</w:t>
      </w:r>
      <w:r w:rsidR="0004582E" w:rsidRPr="003C704B">
        <w:rPr>
          <w:sz w:val="18"/>
          <w:szCs w:val="18"/>
          <w:lang w:val="fr-FR"/>
        </w:rPr>
        <w:t>s</w:t>
      </w:r>
      <w:proofErr w:type="spellEnd"/>
      <w:r w:rsidR="0004582E" w:rsidRPr="003C704B">
        <w:rPr>
          <w:sz w:val="18"/>
          <w:szCs w:val="18"/>
          <w:lang w:val="fr-FR"/>
        </w:rPr>
        <w:t>, 85(4), 579-595.</w:t>
      </w:r>
    </w:p>
    <w:p w14:paraId="3B4067A3" w14:textId="190BA73E"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 xml:space="preserve">HOL, S. &amp; VAN DER WIJST, </w:t>
      </w:r>
      <w:r w:rsidR="0004582E" w:rsidRPr="003C704B">
        <w:rPr>
          <w:sz w:val="18"/>
          <w:szCs w:val="18"/>
          <w:lang w:val="fr-FR"/>
        </w:rPr>
        <w:t xml:space="preserve">N. (2008). The </w:t>
      </w:r>
      <w:proofErr w:type="spellStart"/>
      <w:r w:rsidR="0004582E" w:rsidRPr="003C704B">
        <w:rPr>
          <w:sz w:val="18"/>
          <w:szCs w:val="18"/>
          <w:lang w:val="fr-FR"/>
        </w:rPr>
        <w:t>financial</w:t>
      </w:r>
      <w:proofErr w:type="spellEnd"/>
      <w:r w:rsidR="0004582E" w:rsidRPr="003C704B">
        <w:rPr>
          <w:sz w:val="18"/>
          <w:szCs w:val="18"/>
          <w:lang w:val="fr-FR"/>
        </w:rPr>
        <w:t xml:space="preserve"> structure of </w:t>
      </w:r>
      <w:proofErr w:type="spellStart"/>
      <w:r w:rsidR="0004582E" w:rsidRPr="003C704B">
        <w:rPr>
          <w:sz w:val="18"/>
          <w:szCs w:val="18"/>
          <w:lang w:val="fr-FR"/>
        </w:rPr>
        <w:t>nonlisted</w:t>
      </w:r>
      <w:proofErr w:type="spellEnd"/>
      <w:r w:rsidR="0004582E" w:rsidRPr="003C704B">
        <w:rPr>
          <w:sz w:val="18"/>
          <w:szCs w:val="18"/>
          <w:lang w:val="fr-FR"/>
        </w:rPr>
        <w:t xml:space="preserve"> </w:t>
      </w:r>
      <w:proofErr w:type="spellStart"/>
      <w:r w:rsidR="0004582E" w:rsidRPr="003C704B">
        <w:rPr>
          <w:sz w:val="18"/>
          <w:szCs w:val="18"/>
          <w:lang w:val="fr-FR"/>
        </w:rPr>
        <w:t>firms</w:t>
      </w:r>
      <w:proofErr w:type="spellEnd"/>
      <w:r w:rsidR="0004582E" w:rsidRPr="003C704B">
        <w:rPr>
          <w:sz w:val="18"/>
          <w:szCs w:val="18"/>
          <w:lang w:val="fr-FR"/>
        </w:rPr>
        <w:t xml:space="preserve">. </w:t>
      </w:r>
      <w:proofErr w:type="spellStart"/>
      <w:r w:rsidR="0004582E" w:rsidRPr="004321E7">
        <w:rPr>
          <w:i/>
          <w:sz w:val="18"/>
          <w:szCs w:val="18"/>
          <w:lang w:val="fr-FR"/>
        </w:rPr>
        <w:t>Applied</w:t>
      </w:r>
      <w:proofErr w:type="spellEnd"/>
      <w:r w:rsidR="0004582E" w:rsidRPr="004321E7">
        <w:rPr>
          <w:i/>
          <w:sz w:val="18"/>
          <w:szCs w:val="18"/>
          <w:lang w:val="fr-FR"/>
        </w:rPr>
        <w:t xml:space="preserve"> Financial </w:t>
      </w:r>
      <w:proofErr w:type="spellStart"/>
      <w:r w:rsidR="0004582E" w:rsidRPr="004321E7">
        <w:rPr>
          <w:i/>
          <w:sz w:val="18"/>
          <w:szCs w:val="18"/>
          <w:lang w:val="fr-FR"/>
        </w:rPr>
        <w:t>Economics</w:t>
      </w:r>
      <w:proofErr w:type="spellEnd"/>
      <w:r w:rsidR="0004582E" w:rsidRPr="003C704B">
        <w:rPr>
          <w:sz w:val="18"/>
          <w:szCs w:val="18"/>
          <w:lang w:val="fr-FR"/>
        </w:rPr>
        <w:t xml:space="preserve">, 18(7), 559-568. </w:t>
      </w:r>
    </w:p>
    <w:p w14:paraId="30D4A132" w14:textId="2F09E4C4"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HUYGHEBAERT, N.; VAN DE GUCHT</w:t>
      </w:r>
      <w:r w:rsidR="0004582E" w:rsidRPr="003C704B">
        <w:rPr>
          <w:sz w:val="18"/>
          <w:szCs w:val="18"/>
          <w:lang w:val="fr-FR"/>
        </w:rPr>
        <w:t xml:space="preserve">, L.M. </w:t>
      </w:r>
      <w:r>
        <w:rPr>
          <w:sz w:val="18"/>
          <w:szCs w:val="18"/>
          <w:lang w:val="fr-FR"/>
        </w:rPr>
        <w:t>(</w:t>
      </w:r>
      <w:r w:rsidR="0004582E" w:rsidRPr="003C704B">
        <w:rPr>
          <w:sz w:val="18"/>
          <w:szCs w:val="18"/>
          <w:lang w:val="fr-FR"/>
        </w:rPr>
        <w:t>2007</w:t>
      </w:r>
      <w:r>
        <w:rPr>
          <w:sz w:val="18"/>
          <w:szCs w:val="18"/>
          <w:lang w:val="fr-FR"/>
        </w:rPr>
        <w:t>)</w:t>
      </w:r>
      <w:r w:rsidR="0004582E" w:rsidRPr="003C704B">
        <w:rPr>
          <w:sz w:val="18"/>
          <w:szCs w:val="18"/>
          <w:lang w:val="fr-FR"/>
        </w:rPr>
        <w:t xml:space="preserve">. The </w:t>
      </w:r>
      <w:proofErr w:type="spellStart"/>
      <w:r w:rsidR="0004582E" w:rsidRPr="003C704B">
        <w:rPr>
          <w:sz w:val="18"/>
          <w:szCs w:val="18"/>
          <w:lang w:val="fr-FR"/>
        </w:rPr>
        <w:t>determinants</w:t>
      </w:r>
      <w:proofErr w:type="spellEnd"/>
      <w:r w:rsidR="0004582E" w:rsidRPr="003C704B">
        <w:rPr>
          <w:sz w:val="18"/>
          <w:szCs w:val="18"/>
          <w:lang w:val="fr-FR"/>
        </w:rPr>
        <w:t xml:space="preserve"> of </w:t>
      </w:r>
      <w:proofErr w:type="spellStart"/>
      <w:r w:rsidR="0004582E" w:rsidRPr="003C704B">
        <w:rPr>
          <w:sz w:val="18"/>
          <w:szCs w:val="18"/>
          <w:lang w:val="fr-FR"/>
        </w:rPr>
        <w:t>financial</w:t>
      </w:r>
      <w:proofErr w:type="spellEnd"/>
      <w:r w:rsidR="0004582E" w:rsidRPr="003C704B">
        <w:rPr>
          <w:sz w:val="18"/>
          <w:szCs w:val="18"/>
          <w:lang w:val="fr-FR"/>
        </w:rPr>
        <w:t xml:space="preserve"> structure: new insights </w:t>
      </w:r>
      <w:proofErr w:type="spellStart"/>
      <w:r w:rsidR="0004582E" w:rsidRPr="003C704B">
        <w:rPr>
          <w:sz w:val="18"/>
          <w:szCs w:val="18"/>
          <w:lang w:val="fr-FR"/>
        </w:rPr>
        <w:t>from</w:t>
      </w:r>
      <w:proofErr w:type="spellEnd"/>
      <w:r w:rsidR="0004582E" w:rsidRPr="003C704B">
        <w:rPr>
          <w:sz w:val="18"/>
          <w:szCs w:val="18"/>
          <w:lang w:val="fr-FR"/>
        </w:rPr>
        <w:t xml:space="preserve"> business start-ups. </w:t>
      </w:r>
      <w:proofErr w:type="spellStart"/>
      <w:r w:rsidR="0004582E" w:rsidRPr="004321E7">
        <w:rPr>
          <w:i/>
          <w:sz w:val="18"/>
          <w:szCs w:val="18"/>
          <w:lang w:val="fr-FR"/>
        </w:rPr>
        <w:t>European</w:t>
      </w:r>
      <w:proofErr w:type="spellEnd"/>
      <w:r w:rsidR="0004582E" w:rsidRPr="004321E7">
        <w:rPr>
          <w:i/>
          <w:sz w:val="18"/>
          <w:szCs w:val="18"/>
          <w:lang w:val="fr-FR"/>
        </w:rPr>
        <w:t xml:space="preserve"> Financial Management</w:t>
      </w:r>
      <w:r w:rsidR="0004582E" w:rsidRPr="003C704B">
        <w:rPr>
          <w:sz w:val="18"/>
          <w:szCs w:val="18"/>
          <w:lang w:val="fr-FR"/>
        </w:rPr>
        <w:t>, 13(1), 101-133.</w:t>
      </w:r>
    </w:p>
    <w:p w14:paraId="6838D1DB" w14:textId="62CE3738"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KARAMI, E.; REZAEI-MOGHADDAM</w:t>
      </w:r>
      <w:r w:rsidR="0004582E" w:rsidRPr="003C704B">
        <w:rPr>
          <w:sz w:val="18"/>
          <w:szCs w:val="18"/>
          <w:lang w:val="fr-FR"/>
        </w:rPr>
        <w:t xml:space="preserve">, K. </w:t>
      </w:r>
      <w:r>
        <w:rPr>
          <w:sz w:val="18"/>
          <w:szCs w:val="18"/>
          <w:lang w:val="fr-FR"/>
        </w:rPr>
        <w:t>(</w:t>
      </w:r>
      <w:r w:rsidR="0004582E" w:rsidRPr="003C704B">
        <w:rPr>
          <w:sz w:val="18"/>
          <w:szCs w:val="18"/>
          <w:lang w:val="fr-FR"/>
        </w:rPr>
        <w:t>2005</w:t>
      </w:r>
      <w:r>
        <w:rPr>
          <w:sz w:val="18"/>
          <w:szCs w:val="18"/>
          <w:lang w:val="fr-FR"/>
        </w:rPr>
        <w:t>)</w:t>
      </w:r>
      <w:r w:rsidR="0004582E" w:rsidRPr="003C704B">
        <w:rPr>
          <w:sz w:val="18"/>
          <w:szCs w:val="18"/>
          <w:lang w:val="fr-FR"/>
        </w:rPr>
        <w:t xml:space="preserve">. </w:t>
      </w:r>
      <w:proofErr w:type="spellStart"/>
      <w:r w:rsidR="0004582E" w:rsidRPr="003C704B">
        <w:rPr>
          <w:sz w:val="18"/>
          <w:szCs w:val="18"/>
          <w:lang w:val="fr-FR"/>
        </w:rPr>
        <w:t>Modeling</w:t>
      </w:r>
      <w:proofErr w:type="spellEnd"/>
      <w:r w:rsidR="0004582E" w:rsidRPr="003C704B">
        <w:rPr>
          <w:sz w:val="18"/>
          <w:szCs w:val="18"/>
          <w:lang w:val="fr-FR"/>
        </w:rPr>
        <w:t xml:space="preserve"> </w:t>
      </w:r>
      <w:proofErr w:type="spellStart"/>
      <w:r w:rsidR="0004582E" w:rsidRPr="003C704B">
        <w:rPr>
          <w:sz w:val="18"/>
          <w:szCs w:val="18"/>
          <w:lang w:val="fr-FR"/>
        </w:rPr>
        <w:t>determinants</w:t>
      </w:r>
      <w:proofErr w:type="spellEnd"/>
      <w:r w:rsidR="0004582E" w:rsidRPr="003C704B">
        <w:rPr>
          <w:sz w:val="18"/>
          <w:szCs w:val="18"/>
          <w:lang w:val="fr-FR"/>
        </w:rPr>
        <w:t xml:space="preserve"> of agricultural production </w:t>
      </w:r>
      <w:proofErr w:type="spellStart"/>
      <w:r w:rsidR="0004582E" w:rsidRPr="003C704B">
        <w:rPr>
          <w:sz w:val="18"/>
          <w:szCs w:val="18"/>
          <w:lang w:val="fr-FR"/>
        </w:rPr>
        <w:t>cooperatives´performance</w:t>
      </w:r>
      <w:proofErr w:type="spellEnd"/>
      <w:r w:rsidR="0004582E" w:rsidRPr="003C704B">
        <w:rPr>
          <w:sz w:val="18"/>
          <w:szCs w:val="18"/>
          <w:lang w:val="fr-FR"/>
        </w:rPr>
        <w:t xml:space="preserve"> in Iran. </w:t>
      </w:r>
      <w:r w:rsidR="0004582E" w:rsidRPr="004321E7">
        <w:rPr>
          <w:i/>
          <w:sz w:val="18"/>
          <w:szCs w:val="18"/>
          <w:lang w:val="fr-FR"/>
        </w:rPr>
        <w:t xml:space="preserve">Agricultural </w:t>
      </w:r>
      <w:proofErr w:type="spellStart"/>
      <w:r w:rsidR="0004582E" w:rsidRPr="004321E7">
        <w:rPr>
          <w:i/>
          <w:sz w:val="18"/>
          <w:szCs w:val="18"/>
          <w:lang w:val="fr-FR"/>
        </w:rPr>
        <w:t>Economics</w:t>
      </w:r>
      <w:proofErr w:type="spellEnd"/>
      <w:r w:rsidR="0004582E" w:rsidRPr="003C704B">
        <w:rPr>
          <w:sz w:val="18"/>
          <w:szCs w:val="18"/>
          <w:lang w:val="fr-FR"/>
        </w:rPr>
        <w:t>, 33, 305-314.</w:t>
      </w:r>
    </w:p>
    <w:p w14:paraId="66D79E77" w14:textId="4D7F26B8"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 xml:space="preserve">LERMAN, Z. &amp; PARLIAMENT, </w:t>
      </w:r>
      <w:r w:rsidR="0004582E" w:rsidRPr="003C704B">
        <w:rPr>
          <w:sz w:val="18"/>
          <w:szCs w:val="18"/>
          <w:lang w:val="fr-FR"/>
        </w:rPr>
        <w:t xml:space="preserve">C. (1991). </w:t>
      </w:r>
      <w:proofErr w:type="spellStart"/>
      <w:r w:rsidR="0004582E" w:rsidRPr="003C704B">
        <w:rPr>
          <w:sz w:val="18"/>
          <w:szCs w:val="18"/>
          <w:lang w:val="fr-FR"/>
        </w:rPr>
        <w:t>Estimating</w:t>
      </w:r>
      <w:proofErr w:type="spellEnd"/>
      <w:r w:rsidR="0004582E" w:rsidRPr="003C704B">
        <w:rPr>
          <w:sz w:val="18"/>
          <w:szCs w:val="18"/>
          <w:lang w:val="fr-FR"/>
        </w:rPr>
        <w:t xml:space="preserve"> the </w:t>
      </w:r>
      <w:proofErr w:type="spellStart"/>
      <w:r w:rsidR="0004582E" w:rsidRPr="003C704B">
        <w:rPr>
          <w:sz w:val="18"/>
          <w:szCs w:val="18"/>
          <w:lang w:val="fr-FR"/>
        </w:rPr>
        <w:t>accounting</w:t>
      </w:r>
      <w:proofErr w:type="spellEnd"/>
      <w:r w:rsidR="0004582E" w:rsidRPr="003C704B">
        <w:rPr>
          <w:sz w:val="18"/>
          <w:szCs w:val="18"/>
          <w:lang w:val="fr-FR"/>
        </w:rPr>
        <w:t xml:space="preserve"> </w:t>
      </w:r>
      <w:proofErr w:type="spellStart"/>
      <w:r w:rsidR="0004582E" w:rsidRPr="003C704B">
        <w:rPr>
          <w:sz w:val="18"/>
          <w:szCs w:val="18"/>
          <w:lang w:val="fr-FR"/>
        </w:rPr>
        <w:t>profitability</w:t>
      </w:r>
      <w:proofErr w:type="spellEnd"/>
      <w:r w:rsidR="0004582E" w:rsidRPr="003C704B">
        <w:rPr>
          <w:sz w:val="18"/>
          <w:szCs w:val="18"/>
          <w:lang w:val="fr-FR"/>
        </w:rPr>
        <w:t xml:space="preserve"> of </w:t>
      </w:r>
      <w:proofErr w:type="spellStart"/>
      <w:r w:rsidR="0004582E" w:rsidRPr="003C704B">
        <w:rPr>
          <w:sz w:val="18"/>
          <w:szCs w:val="18"/>
          <w:lang w:val="fr-FR"/>
        </w:rPr>
        <w:t>pooling</w:t>
      </w:r>
      <w:proofErr w:type="spellEnd"/>
      <w:r w:rsidR="0004582E" w:rsidRPr="003C704B">
        <w:rPr>
          <w:sz w:val="18"/>
          <w:szCs w:val="18"/>
          <w:lang w:val="fr-FR"/>
        </w:rPr>
        <w:t xml:space="preserve"> </w:t>
      </w:r>
      <w:proofErr w:type="spellStart"/>
      <w:r w:rsidR="0004582E" w:rsidRPr="003C704B">
        <w:rPr>
          <w:sz w:val="18"/>
          <w:szCs w:val="18"/>
          <w:lang w:val="fr-FR"/>
        </w:rPr>
        <w:t>cooperatives</w:t>
      </w:r>
      <w:proofErr w:type="spellEnd"/>
      <w:r w:rsidR="0004582E" w:rsidRPr="003C704B">
        <w:rPr>
          <w:sz w:val="18"/>
          <w:szCs w:val="18"/>
          <w:lang w:val="fr-FR"/>
        </w:rPr>
        <w:t xml:space="preserve">. </w:t>
      </w:r>
      <w:r w:rsidR="0004582E" w:rsidRPr="004321E7">
        <w:rPr>
          <w:i/>
          <w:sz w:val="18"/>
          <w:szCs w:val="18"/>
          <w:lang w:val="fr-FR"/>
        </w:rPr>
        <w:t xml:space="preserve">Journal of </w:t>
      </w:r>
      <w:proofErr w:type="spellStart"/>
      <w:r w:rsidR="0004582E" w:rsidRPr="004321E7">
        <w:rPr>
          <w:i/>
          <w:sz w:val="18"/>
          <w:szCs w:val="18"/>
          <w:lang w:val="fr-FR"/>
        </w:rPr>
        <w:t>Agribusiness</w:t>
      </w:r>
      <w:proofErr w:type="spellEnd"/>
      <w:r w:rsidR="0004582E" w:rsidRPr="003C704B">
        <w:rPr>
          <w:sz w:val="18"/>
          <w:szCs w:val="18"/>
          <w:lang w:val="fr-FR"/>
        </w:rPr>
        <w:t xml:space="preserve">, </w:t>
      </w:r>
      <w:proofErr w:type="spellStart"/>
      <w:r w:rsidR="0004582E" w:rsidRPr="003C704B">
        <w:rPr>
          <w:sz w:val="18"/>
          <w:szCs w:val="18"/>
          <w:lang w:val="fr-FR"/>
        </w:rPr>
        <w:t>Fall</w:t>
      </w:r>
      <w:proofErr w:type="spellEnd"/>
      <w:r w:rsidR="0004582E" w:rsidRPr="003C704B">
        <w:rPr>
          <w:sz w:val="18"/>
          <w:szCs w:val="18"/>
          <w:lang w:val="fr-FR"/>
        </w:rPr>
        <w:t>, 3-11.</w:t>
      </w:r>
    </w:p>
    <w:p w14:paraId="78E7283F" w14:textId="5923307B"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LEVY, A. &amp; HENNESSY</w:t>
      </w:r>
      <w:r w:rsidR="0004582E" w:rsidRPr="003C704B">
        <w:rPr>
          <w:sz w:val="18"/>
          <w:szCs w:val="18"/>
          <w:lang w:val="fr-FR"/>
        </w:rPr>
        <w:t xml:space="preserve">, C. (2007). </w:t>
      </w:r>
      <w:proofErr w:type="spellStart"/>
      <w:r w:rsidR="0004582E" w:rsidRPr="003C704B">
        <w:rPr>
          <w:sz w:val="18"/>
          <w:szCs w:val="18"/>
          <w:lang w:val="fr-FR"/>
        </w:rPr>
        <w:t>Why</w:t>
      </w:r>
      <w:proofErr w:type="spellEnd"/>
      <w:r w:rsidR="0004582E" w:rsidRPr="003C704B">
        <w:rPr>
          <w:sz w:val="18"/>
          <w:szCs w:val="18"/>
          <w:lang w:val="fr-FR"/>
        </w:rPr>
        <w:t xml:space="preserve"> </w:t>
      </w:r>
      <w:proofErr w:type="spellStart"/>
      <w:r w:rsidR="0004582E" w:rsidRPr="003C704B">
        <w:rPr>
          <w:sz w:val="18"/>
          <w:szCs w:val="18"/>
          <w:lang w:val="fr-FR"/>
        </w:rPr>
        <w:t>does</w:t>
      </w:r>
      <w:proofErr w:type="spellEnd"/>
      <w:r w:rsidR="0004582E" w:rsidRPr="003C704B">
        <w:rPr>
          <w:sz w:val="18"/>
          <w:szCs w:val="18"/>
          <w:lang w:val="fr-FR"/>
        </w:rPr>
        <w:t xml:space="preserve"> capital structure </w:t>
      </w:r>
      <w:proofErr w:type="spellStart"/>
      <w:r w:rsidR="0004582E" w:rsidRPr="003C704B">
        <w:rPr>
          <w:sz w:val="18"/>
          <w:szCs w:val="18"/>
          <w:lang w:val="fr-FR"/>
        </w:rPr>
        <w:t>choice</w:t>
      </w:r>
      <w:proofErr w:type="spellEnd"/>
      <w:r w:rsidR="0004582E" w:rsidRPr="003C704B">
        <w:rPr>
          <w:sz w:val="18"/>
          <w:szCs w:val="18"/>
          <w:lang w:val="fr-FR"/>
        </w:rPr>
        <w:t xml:space="preserve"> </w:t>
      </w:r>
      <w:proofErr w:type="spellStart"/>
      <w:r w:rsidR="0004582E" w:rsidRPr="003C704B">
        <w:rPr>
          <w:sz w:val="18"/>
          <w:szCs w:val="18"/>
          <w:lang w:val="fr-FR"/>
        </w:rPr>
        <w:t>vary</w:t>
      </w:r>
      <w:proofErr w:type="spellEnd"/>
      <w:r w:rsidR="0004582E" w:rsidRPr="003C704B">
        <w:rPr>
          <w:sz w:val="18"/>
          <w:szCs w:val="18"/>
          <w:lang w:val="fr-FR"/>
        </w:rPr>
        <w:t xml:space="preserve"> </w:t>
      </w:r>
      <w:proofErr w:type="spellStart"/>
      <w:r w:rsidR="0004582E" w:rsidRPr="003C704B">
        <w:rPr>
          <w:sz w:val="18"/>
          <w:szCs w:val="18"/>
          <w:lang w:val="fr-FR"/>
        </w:rPr>
        <w:t>with</w:t>
      </w:r>
      <w:proofErr w:type="spellEnd"/>
      <w:r w:rsidR="0004582E" w:rsidRPr="003C704B">
        <w:rPr>
          <w:sz w:val="18"/>
          <w:szCs w:val="18"/>
          <w:lang w:val="fr-FR"/>
        </w:rPr>
        <w:t xml:space="preserve"> </w:t>
      </w:r>
      <w:proofErr w:type="spellStart"/>
      <w:r w:rsidR="0004582E" w:rsidRPr="003C704B">
        <w:rPr>
          <w:sz w:val="18"/>
          <w:szCs w:val="18"/>
          <w:lang w:val="fr-FR"/>
        </w:rPr>
        <w:t>macroeconomic</w:t>
      </w:r>
      <w:proofErr w:type="spellEnd"/>
      <w:r w:rsidR="0004582E" w:rsidRPr="003C704B">
        <w:rPr>
          <w:sz w:val="18"/>
          <w:szCs w:val="18"/>
          <w:lang w:val="fr-FR"/>
        </w:rPr>
        <w:t xml:space="preserve"> conditions</w:t>
      </w:r>
      <w:proofErr w:type="gramStart"/>
      <w:r w:rsidR="0004582E" w:rsidRPr="003C704B">
        <w:rPr>
          <w:sz w:val="18"/>
          <w:szCs w:val="18"/>
          <w:lang w:val="fr-FR"/>
        </w:rPr>
        <w:t>?.</w:t>
      </w:r>
      <w:proofErr w:type="gramEnd"/>
      <w:r w:rsidR="0004582E" w:rsidRPr="003C704B">
        <w:rPr>
          <w:sz w:val="18"/>
          <w:szCs w:val="18"/>
          <w:lang w:val="fr-FR"/>
        </w:rPr>
        <w:t xml:space="preserve"> </w:t>
      </w:r>
      <w:r w:rsidR="0004582E" w:rsidRPr="004321E7">
        <w:rPr>
          <w:i/>
          <w:sz w:val="18"/>
          <w:szCs w:val="18"/>
          <w:lang w:val="fr-FR"/>
        </w:rPr>
        <w:t xml:space="preserve">Journal of Financial </w:t>
      </w:r>
      <w:proofErr w:type="spellStart"/>
      <w:r w:rsidR="0004582E" w:rsidRPr="004321E7">
        <w:rPr>
          <w:i/>
          <w:sz w:val="18"/>
          <w:szCs w:val="18"/>
          <w:lang w:val="fr-FR"/>
        </w:rPr>
        <w:t>Economics</w:t>
      </w:r>
      <w:proofErr w:type="spellEnd"/>
      <w:r w:rsidR="0004582E" w:rsidRPr="004321E7">
        <w:rPr>
          <w:i/>
          <w:sz w:val="18"/>
          <w:szCs w:val="18"/>
          <w:lang w:val="fr-FR"/>
        </w:rPr>
        <w:t xml:space="preserve"> </w:t>
      </w:r>
      <w:r w:rsidR="0004582E" w:rsidRPr="003C704B">
        <w:rPr>
          <w:sz w:val="18"/>
          <w:szCs w:val="18"/>
          <w:lang w:val="fr-FR"/>
        </w:rPr>
        <w:t>54, 1545-1564.</w:t>
      </w:r>
    </w:p>
    <w:p w14:paraId="5700041A" w14:textId="5D8DD96D"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 xml:space="preserve">MODIGLIANI, F. &amp; MILLER, </w:t>
      </w:r>
      <w:r w:rsidR="0004582E" w:rsidRPr="003C704B">
        <w:rPr>
          <w:sz w:val="18"/>
          <w:szCs w:val="18"/>
          <w:lang w:val="fr-FR"/>
        </w:rPr>
        <w:t xml:space="preserve">M. (1958). The </w:t>
      </w:r>
      <w:proofErr w:type="spellStart"/>
      <w:r w:rsidR="0004582E" w:rsidRPr="003C704B">
        <w:rPr>
          <w:sz w:val="18"/>
          <w:szCs w:val="18"/>
          <w:lang w:val="fr-FR"/>
        </w:rPr>
        <w:t>cost</w:t>
      </w:r>
      <w:proofErr w:type="spellEnd"/>
      <w:r w:rsidR="0004582E" w:rsidRPr="003C704B">
        <w:rPr>
          <w:sz w:val="18"/>
          <w:szCs w:val="18"/>
          <w:lang w:val="fr-FR"/>
        </w:rPr>
        <w:t xml:space="preserve"> of capital, </w:t>
      </w:r>
      <w:proofErr w:type="spellStart"/>
      <w:r w:rsidR="0004582E" w:rsidRPr="003C704B">
        <w:rPr>
          <w:sz w:val="18"/>
          <w:szCs w:val="18"/>
          <w:lang w:val="fr-FR"/>
        </w:rPr>
        <w:t>corporate</w:t>
      </w:r>
      <w:proofErr w:type="spellEnd"/>
      <w:r w:rsidR="0004582E" w:rsidRPr="003C704B">
        <w:rPr>
          <w:sz w:val="18"/>
          <w:szCs w:val="18"/>
          <w:lang w:val="fr-FR"/>
        </w:rPr>
        <w:t xml:space="preserve"> finance and the </w:t>
      </w:r>
      <w:proofErr w:type="spellStart"/>
      <w:r w:rsidR="0004582E" w:rsidRPr="003C704B">
        <w:rPr>
          <w:sz w:val="18"/>
          <w:szCs w:val="18"/>
          <w:lang w:val="fr-FR"/>
        </w:rPr>
        <w:t>Theory</w:t>
      </w:r>
      <w:proofErr w:type="spellEnd"/>
      <w:r w:rsidR="0004582E" w:rsidRPr="003C704B">
        <w:rPr>
          <w:sz w:val="18"/>
          <w:szCs w:val="18"/>
          <w:lang w:val="fr-FR"/>
        </w:rPr>
        <w:t xml:space="preserve"> of </w:t>
      </w:r>
      <w:proofErr w:type="spellStart"/>
      <w:r w:rsidR="0004582E" w:rsidRPr="003C704B">
        <w:rPr>
          <w:sz w:val="18"/>
          <w:szCs w:val="18"/>
          <w:lang w:val="fr-FR"/>
        </w:rPr>
        <w:t>Investment</w:t>
      </w:r>
      <w:proofErr w:type="spellEnd"/>
      <w:r w:rsidR="0004582E" w:rsidRPr="003C704B">
        <w:rPr>
          <w:sz w:val="18"/>
          <w:szCs w:val="18"/>
          <w:lang w:val="fr-FR"/>
        </w:rPr>
        <w:t xml:space="preserve">. </w:t>
      </w:r>
      <w:r w:rsidR="0004582E" w:rsidRPr="004321E7">
        <w:rPr>
          <w:i/>
          <w:sz w:val="18"/>
          <w:szCs w:val="18"/>
          <w:lang w:val="fr-FR"/>
        </w:rPr>
        <w:t xml:space="preserve">American </w:t>
      </w:r>
      <w:proofErr w:type="spellStart"/>
      <w:r w:rsidR="0004582E" w:rsidRPr="004321E7">
        <w:rPr>
          <w:i/>
          <w:sz w:val="18"/>
          <w:szCs w:val="18"/>
          <w:lang w:val="fr-FR"/>
        </w:rPr>
        <w:t>Economic</w:t>
      </w:r>
      <w:proofErr w:type="spellEnd"/>
      <w:r w:rsidR="0004582E" w:rsidRPr="004321E7">
        <w:rPr>
          <w:i/>
          <w:sz w:val="18"/>
          <w:szCs w:val="18"/>
          <w:lang w:val="fr-FR"/>
        </w:rPr>
        <w:t xml:space="preserve"> </w:t>
      </w:r>
      <w:proofErr w:type="spellStart"/>
      <w:r w:rsidR="0004582E" w:rsidRPr="004321E7">
        <w:rPr>
          <w:i/>
          <w:sz w:val="18"/>
          <w:szCs w:val="18"/>
          <w:lang w:val="fr-FR"/>
        </w:rPr>
        <w:t>Review</w:t>
      </w:r>
      <w:proofErr w:type="spellEnd"/>
      <w:r w:rsidR="0004582E" w:rsidRPr="003C704B">
        <w:rPr>
          <w:sz w:val="18"/>
          <w:szCs w:val="18"/>
          <w:lang w:val="fr-FR"/>
        </w:rPr>
        <w:t xml:space="preserve">, 48, 4, 262-297. </w:t>
      </w:r>
    </w:p>
    <w:p w14:paraId="36AA462B" w14:textId="7CABE224"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lastRenderedPageBreak/>
        <w:t>MURRAY, F. &amp; GOYAL</w:t>
      </w:r>
      <w:r w:rsidR="0004582E" w:rsidRPr="003C704B">
        <w:rPr>
          <w:sz w:val="18"/>
          <w:szCs w:val="18"/>
          <w:lang w:val="fr-FR"/>
        </w:rPr>
        <w:t xml:space="preserve">, V. (2003). </w:t>
      </w:r>
      <w:proofErr w:type="spellStart"/>
      <w:r w:rsidR="0004582E" w:rsidRPr="003C704B">
        <w:rPr>
          <w:sz w:val="18"/>
          <w:szCs w:val="18"/>
          <w:lang w:val="fr-FR"/>
        </w:rPr>
        <w:t>Testing</w:t>
      </w:r>
      <w:proofErr w:type="spellEnd"/>
      <w:r w:rsidR="0004582E" w:rsidRPr="003C704B">
        <w:rPr>
          <w:sz w:val="18"/>
          <w:szCs w:val="18"/>
          <w:lang w:val="fr-FR"/>
        </w:rPr>
        <w:t xml:space="preserve"> the </w:t>
      </w:r>
      <w:proofErr w:type="spellStart"/>
      <w:r w:rsidR="0004582E" w:rsidRPr="003C704B">
        <w:rPr>
          <w:sz w:val="18"/>
          <w:szCs w:val="18"/>
          <w:lang w:val="fr-FR"/>
        </w:rPr>
        <w:t>pecking</w:t>
      </w:r>
      <w:proofErr w:type="spellEnd"/>
      <w:r w:rsidR="0004582E" w:rsidRPr="003C704B">
        <w:rPr>
          <w:sz w:val="18"/>
          <w:szCs w:val="18"/>
          <w:lang w:val="fr-FR"/>
        </w:rPr>
        <w:t xml:space="preserve"> </w:t>
      </w:r>
      <w:proofErr w:type="spellStart"/>
      <w:r w:rsidR="0004582E" w:rsidRPr="003C704B">
        <w:rPr>
          <w:sz w:val="18"/>
          <w:szCs w:val="18"/>
          <w:lang w:val="fr-FR"/>
        </w:rPr>
        <w:t>order</w:t>
      </w:r>
      <w:proofErr w:type="spellEnd"/>
      <w:r w:rsidR="0004582E" w:rsidRPr="003C704B">
        <w:rPr>
          <w:sz w:val="18"/>
          <w:szCs w:val="18"/>
          <w:lang w:val="fr-FR"/>
        </w:rPr>
        <w:t xml:space="preserve"> </w:t>
      </w:r>
      <w:proofErr w:type="spellStart"/>
      <w:r w:rsidR="0004582E" w:rsidRPr="003C704B">
        <w:rPr>
          <w:sz w:val="18"/>
          <w:szCs w:val="18"/>
          <w:lang w:val="fr-FR"/>
        </w:rPr>
        <w:t>theory</w:t>
      </w:r>
      <w:proofErr w:type="spellEnd"/>
      <w:r w:rsidR="0004582E" w:rsidRPr="003C704B">
        <w:rPr>
          <w:sz w:val="18"/>
          <w:szCs w:val="18"/>
          <w:lang w:val="fr-FR"/>
        </w:rPr>
        <w:t xml:space="preserve"> of capital structure. </w:t>
      </w:r>
      <w:r w:rsidR="0004582E" w:rsidRPr="004321E7">
        <w:rPr>
          <w:i/>
          <w:sz w:val="18"/>
          <w:szCs w:val="18"/>
          <w:lang w:val="fr-FR"/>
        </w:rPr>
        <w:t xml:space="preserve">Journal of Financial </w:t>
      </w:r>
      <w:proofErr w:type="spellStart"/>
      <w:r w:rsidR="0004582E" w:rsidRPr="004321E7">
        <w:rPr>
          <w:i/>
          <w:sz w:val="18"/>
          <w:szCs w:val="18"/>
          <w:lang w:val="fr-FR"/>
        </w:rPr>
        <w:t>Economics</w:t>
      </w:r>
      <w:proofErr w:type="spellEnd"/>
      <w:r w:rsidR="0004582E" w:rsidRPr="003C704B">
        <w:rPr>
          <w:sz w:val="18"/>
          <w:szCs w:val="18"/>
          <w:lang w:val="fr-FR"/>
        </w:rPr>
        <w:t>, 67(2), 217-248.</w:t>
      </w:r>
    </w:p>
    <w:p w14:paraId="3D52A89A" w14:textId="3251D458"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MYERS</w:t>
      </w:r>
      <w:r w:rsidR="0004582E" w:rsidRPr="003C704B">
        <w:rPr>
          <w:sz w:val="18"/>
          <w:szCs w:val="18"/>
          <w:lang w:val="fr-FR"/>
        </w:rPr>
        <w:t xml:space="preserve">, S. </w:t>
      </w:r>
      <w:r>
        <w:rPr>
          <w:sz w:val="18"/>
          <w:szCs w:val="18"/>
          <w:lang w:val="fr-FR"/>
        </w:rPr>
        <w:t>(</w:t>
      </w:r>
      <w:r w:rsidR="0004582E" w:rsidRPr="003C704B">
        <w:rPr>
          <w:sz w:val="18"/>
          <w:szCs w:val="18"/>
          <w:lang w:val="fr-FR"/>
        </w:rPr>
        <w:t>2001</w:t>
      </w:r>
      <w:r>
        <w:rPr>
          <w:sz w:val="18"/>
          <w:szCs w:val="18"/>
          <w:lang w:val="fr-FR"/>
        </w:rPr>
        <w:t>)</w:t>
      </w:r>
      <w:r w:rsidR="0004582E" w:rsidRPr="003C704B">
        <w:rPr>
          <w:sz w:val="18"/>
          <w:szCs w:val="18"/>
          <w:lang w:val="fr-FR"/>
        </w:rPr>
        <w:t xml:space="preserve">. Capital Structure. </w:t>
      </w:r>
      <w:r w:rsidR="0004582E" w:rsidRPr="004321E7">
        <w:rPr>
          <w:i/>
          <w:sz w:val="18"/>
          <w:szCs w:val="18"/>
          <w:lang w:val="fr-FR"/>
        </w:rPr>
        <w:t xml:space="preserve">Journal of </w:t>
      </w:r>
      <w:proofErr w:type="spellStart"/>
      <w:r w:rsidR="0004582E" w:rsidRPr="004321E7">
        <w:rPr>
          <w:i/>
          <w:sz w:val="18"/>
          <w:szCs w:val="18"/>
          <w:lang w:val="fr-FR"/>
        </w:rPr>
        <w:t>Economic</w:t>
      </w:r>
      <w:proofErr w:type="spellEnd"/>
      <w:r w:rsidR="0004582E" w:rsidRPr="004321E7">
        <w:rPr>
          <w:i/>
          <w:sz w:val="18"/>
          <w:szCs w:val="18"/>
          <w:lang w:val="fr-FR"/>
        </w:rPr>
        <w:t xml:space="preserve"> Perspectives</w:t>
      </w:r>
      <w:r w:rsidR="0004582E" w:rsidRPr="003C704B">
        <w:rPr>
          <w:sz w:val="18"/>
          <w:szCs w:val="18"/>
          <w:lang w:val="fr-FR"/>
        </w:rPr>
        <w:t>, 15, 81-102.</w:t>
      </w:r>
    </w:p>
    <w:p w14:paraId="271AF2A4" w14:textId="5A885698"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NASR, R., BARRY, P.J. AND ELLINGER</w:t>
      </w:r>
      <w:r w:rsidR="0004582E" w:rsidRPr="003C704B">
        <w:rPr>
          <w:sz w:val="18"/>
          <w:szCs w:val="18"/>
          <w:lang w:val="fr-FR"/>
        </w:rPr>
        <w:t xml:space="preserve">, P.N. (1998). Financial structure and </w:t>
      </w:r>
      <w:proofErr w:type="spellStart"/>
      <w:r w:rsidR="0004582E" w:rsidRPr="003C704B">
        <w:rPr>
          <w:sz w:val="18"/>
          <w:szCs w:val="18"/>
          <w:lang w:val="fr-FR"/>
        </w:rPr>
        <w:t>efficiency</w:t>
      </w:r>
      <w:proofErr w:type="spellEnd"/>
      <w:r w:rsidR="0004582E" w:rsidRPr="003C704B">
        <w:rPr>
          <w:sz w:val="18"/>
          <w:szCs w:val="18"/>
          <w:lang w:val="fr-FR"/>
        </w:rPr>
        <w:t xml:space="preserve"> of grain </w:t>
      </w:r>
      <w:proofErr w:type="spellStart"/>
      <w:r w:rsidR="0004582E" w:rsidRPr="003C704B">
        <w:rPr>
          <w:sz w:val="18"/>
          <w:szCs w:val="18"/>
          <w:lang w:val="fr-FR"/>
        </w:rPr>
        <w:t>farms</w:t>
      </w:r>
      <w:proofErr w:type="spellEnd"/>
      <w:r w:rsidR="0004582E" w:rsidRPr="003C704B">
        <w:rPr>
          <w:sz w:val="18"/>
          <w:szCs w:val="18"/>
          <w:lang w:val="fr-FR"/>
        </w:rPr>
        <w:t xml:space="preserve">. </w:t>
      </w:r>
      <w:r w:rsidR="0004582E" w:rsidRPr="004321E7">
        <w:rPr>
          <w:i/>
          <w:sz w:val="18"/>
          <w:szCs w:val="18"/>
          <w:lang w:val="fr-FR"/>
        </w:rPr>
        <w:t xml:space="preserve">Agricultural Finance </w:t>
      </w:r>
      <w:proofErr w:type="spellStart"/>
      <w:r w:rsidR="0004582E" w:rsidRPr="004321E7">
        <w:rPr>
          <w:i/>
          <w:sz w:val="18"/>
          <w:szCs w:val="18"/>
          <w:lang w:val="fr-FR"/>
        </w:rPr>
        <w:t>Review</w:t>
      </w:r>
      <w:proofErr w:type="spellEnd"/>
      <w:r w:rsidR="0004582E" w:rsidRPr="003C704B">
        <w:rPr>
          <w:sz w:val="18"/>
          <w:szCs w:val="18"/>
          <w:lang w:val="fr-FR"/>
        </w:rPr>
        <w:t>, 58, 33-48.</w:t>
      </w:r>
    </w:p>
    <w:p w14:paraId="4FDB371F" w14:textId="34EE0EAA"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 xml:space="preserve">RAJAN, R. &amp; ZINGALES, L. </w:t>
      </w:r>
      <w:r w:rsidR="0004582E" w:rsidRPr="003C704B">
        <w:rPr>
          <w:sz w:val="18"/>
          <w:szCs w:val="18"/>
          <w:lang w:val="fr-FR"/>
        </w:rPr>
        <w:t xml:space="preserve">(1995). </w:t>
      </w:r>
      <w:proofErr w:type="spellStart"/>
      <w:r w:rsidR="0004582E" w:rsidRPr="003C704B">
        <w:rPr>
          <w:sz w:val="18"/>
          <w:szCs w:val="18"/>
          <w:lang w:val="fr-FR"/>
        </w:rPr>
        <w:t>What</w:t>
      </w:r>
      <w:proofErr w:type="spellEnd"/>
      <w:r w:rsidR="0004582E" w:rsidRPr="003C704B">
        <w:rPr>
          <w:sz w:val="18"/>
          <w:szCs w:val="18"/>
          <w:lang w:val="fr-FR"/>
        </w:rPr>
        <w:t xml:space="preserve"> do </w:t>
      </w:r>
      <w:proofErr w:type="spellStart"/>
      <w:r w:rsidR="0004582E" w:rsidRPr="003C704B">
        <w:rPr>
          <w:sz w:val="18"/>
          <w:szCs w:val="18"/>
          <w:lang w:val="fr-FR"/>
        </w:rPr>
        <w:t>we</w:t>
      </w:r>
      <w:proofErr w:type="spellEnd"/>
      <w:r w:rsidR="0004582E" w:rsidRPr="003C704B">
        <w:rPr>
          <w:sz w:val="18"/>
          <w:szCs w:val="18"/>
          <w:lang w:val="fr-FR"/>
        </w:rPr>
        <w:t xml:space="preserve"> know about capital structure</w:t>
      </w:r>
      <w:proofErr w:type="gramStart"/>
      <w:r w:rsidR="0004582E" w:rsidRPr="003C704B">
        <w:rPr>
          <w:sz w:val="18"/>
          <w:szCs w:val="18"/>
          <w:lang w:val="fr-FR"/>
        </w:rPr>
        <w:t>?.</w:t>
      </w:r>
      <w:proofErr w:type="gramEnd"/>
      <w:r w:rsidR="0004582E" w:rsidRPr="003C704B">
        <w:rPr>
          <w:sz w:val="18"/>
          <w:szCs w:val="18"/>
          <w:lang w:val="fr-FR"/>
        </w:rPr>
        <w:t xml:space="preserve"> </w:t>
      </w:r>
      <w:proofErr w:type="spellStart"/>
      <w:r w:rsidR="0004582E" w:rsidRPr="003C704B">
        <w:rPr>
          <w:sz w:val="18"/>
          <w:szCs w:val="18"/>
          <w:lang w:val="fr-FR"/>
        </w:rPr>
        <w:t>Some</w:t>
      </w:r>
      <w:proofErr w:type="spellEnd"/>
      <w:r w:rsidR="0004582E" w:rsidRPr="003C704B">
        <w:rPr>
          <w:sz w:val="18"/>
          <w:szCs w:val="18"/>
          <w:lang w:val="fr-FR"/>
        </w:rPr>
        <w:t xml:space="preserve"> </w:t>
      </w:r>
      <w:proofErr w:type="spellStart"/>
      <w:r w:rsidR="0004582E" w:rsidRPr="003C704B">
        <w:rPr>
          <w:sz w:val="18"/>
          <w:szCs w:val="18"/>
          <w:lang w:val="fr-FR"/>
        </w:rPr>
        <w:t>evidence</w:t>
      </w:r>
      <w:proofErr w:type="spellEnd"/>
      <w:r w:rsidR="0004582E" w:rsidRPr="003C704B">
        <w:rPr>
          <w:sz w:val="18"/>
          <w:szCs w:val="18"/>
          <w:lang w:val="fr-FR"/>
        </w:rPr>
        <w:t xml:space="preserve"> </w:t>
      </w:r>
      <w:proofErr w:type="spellStart"/>
      <w:r w:rsidR="0004582E" w:rsidRPr="003C704B">
        <w:rPr>
          <w:sz w:val="18"/>
          <w:szCs w:val="18"/>
          <w:lang w:val="fr-FR"/>
        </w:rPr>
        <w:t>from</w:t>
      </w:r>
      <w:proofErr w:type="spellEnd"/>
      <w:r w:rsidR="0004582E" w:rsidRPr="003C704B">
        <w:rPr>
          <w:sz w:val="18"/>
          <w:szCs w:val="18"/>
          <w:lang w:val="fr-FR"/>
        </w:rPr>
        <w:t xml:space="preserve"> international data. </w:t>
      </w:r>
      <w:r w:rsidR="0004582E" w:rsidRPr="004321E7">
        <w:rPr>
          <w:i/>
          <w:sz w:val="18"/>
          <w:szCs w:val="18"/>
          <w:lang w:val="fr-FR"/>
        </w:rPr>
        <w:t>Journal of Finance</w:t>
      </w:r>
      <w:r w:rsidR="0004582E" w:rsidRPr="003C704B">
        <w:rPr>
          <w:sz w:val="18"/>
          <w:szCs w:val="18"/>
          <w:lang w:val="fr-FR"/>
        </w:rPr>
        <w:t>, 50(5), 1421-1460.</w:t>
      </w:r>
    </w:p>
    <w:p w14:paraId="27DE8D49" w14:textId="7E1EB1B0"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 xml:space="preserve">SOBOH, R.A.M.E.; LANSINK, A.O.; GIESEN, G.; VAN DIJK, </w:t>
      </w:r>
      <w:r w:rsidR="0004582E" w:rsidRPr="003C704B">
        <w:rPr>
          <w:sz w:val="18"/>
          <w:szCs w:val="18"/>
          <w:lang w:val="fr-FR"/>
        </w:rPr>
        <w:t xml:space="preserve">G. </w:t>
      </w:r>
      <w:r>
        <w:rPr>
          <w:sz w:val="18"/>
          <w:szCs w:val="18"/>
          <w:lang w:val="fr-FR"/>
        </w:rPr>
        <w:t>(</w:t>
      </w:r>
      <w:r w:rsidR="0004582E" w:rsidRPr="003C704B">
        <w:rPr>
          <w:sz w:val="18"/>
          <w:szCs w:val="18"/>
          <w:lang w:val="fr-FR"/>
        </w:rPr>
        <w:t>2009</w:t>
      </w:r>
      <w:r>
        <w:rPr>
          <w:sz w:val="18"/>
          <w:szCs w:val="18"/>
          <w:lang w:val="fr-FR"/>
        </w:rPr>
        <w:t>)</w:t>
      </w:r>
      <w:r w:rsidR="0004582E" w:rsidRPr="003C704B">
        <w:rPr>
          <w:sz w:val="18"/>
          <w:szCs w:val="18"/>
          <w:lang w:val="fr-FR"/>
        </w:rPr>
        <w:t xml:space="preserve">. Performance </w:t>
      </w:r>
      <w:proofErr w:type="spellStart"/>
      <w:r w:rsidR="0004582E" w:rsidRPr="003C704B">
        <w:rPr>
          <w:sz w:val="18"/>
          <w:szCs w:val="18"/>
          <w:lang w:val="fr-FR"/>
        </w:rPr>
        <w:t>measurement</w:t>
      </w:r>
      <w:proofErr w:type="spellEnd"/>
      <w:r w:rsidR="0004582E" w:rsidRPr="003C704B">
        <w:rPr>
          <w:sz w:val="18"/>
          <w:szCs w:val="18"/>
          <w:lang w:val="fr-FR"/>
        </w:rPr>
        <w:t xml:space="preserve"> of the agricultural marketing </w:t>
      </w:r>
      <w:proofErr w:type="spellStart"/>
      <w:r w:rsidR="0004582E" w:rsidRPr="003C704B">
        <w:rPr>
          <w:sz w:val="18"/>
          <w:szCs w:val="18"/>
          <w:lang w:val="fr-FR"/>
        </w:rPr>
        <w:t>cooperatives</w:t>
      </w:r>
      <w:proofErr w:type="spellEnd"/>
      <w:r w:rsidR="0004582E" w:rsidRPr="003C704B">
        <w:rPr>
          <w:sz w:val="18"/>
          <w:szCs w:val="18"/>
          <w:lang w:val="fr-FR"/>
        </w:rPr>
        <w:t xml:space="preserve">: the gap </w:t>
      </w:r>
      <w:proofErr w:type="spellStart"/>
      <w:r w:rsidR="0004582E" w:rsidRPr="003C704B">
        <w:rPr>
          <w:sz w:val="18"/>
          <w:szCs w:val="18"/>
          <w:lang w:val="fr-FR"/>
        </w:rPr>
        <w:t>between</w:t>
      </w:r>
      <w:proofErr w:type="spellEnd"/>
      <w:r w:rsidR="0004582E" w:rsidRPr="003C704B">
        <w:rPr>
          <w:sz w:val="18"/>
          <w:szCs w:val="18"/>
          <w:lang w:val="fr-FR"/>
        </w:rPr>
        <w:t xml:space="preserve"> </w:t>
      </w:r>
      <w:proofErr w:type="spellStart"/>
      <w:r w:rsidR="0004582E" w:rsidRPr="003C704B">
        <w:rPr>
          <w:sz w:val="18"/>
          <w:szCs w:val="18"/>
          <w:lang w:val="fr-FR"/>
        </w:rPr>
        <w:t>theory</w:t>
      </w:r>
      <w:proofErr w:type="spellEnd"/>
      <w:r w:rsidR="0004582E" w:rsidRPr="003C704B">
        <w:rPr>
          <w:sz w:val="18"/>
          <w:szCs w:val="18"/>
          <w:lang w:val="fr-FR"/>
        </w:rPr>
        <w:t xml:space="preserve"> and practice. </w:t>
      </w:r>
      <w:proofErr w:type="spellStart"/>
      <w:r w:rsidR="0004582E" w:rsidRPr="004321E7">
        <w:rPr>
          <w:i/>
          <w:sz w:val="18"/>
          <w:szCs w:val="18"/>
          <w:lang w:val="fr-FR"/>
        </w:rPr>
        <w:t>Review</w:t>
      </w:r>
      <w:proofErr w:type="spellEnd"/>
      <w:r w:rsidR="0004582E" w:rsidRPr="004321E7">
        <w:rPr>
          <w:i/>
          <w:sz w:val="18"/>
          <w:szCs w:val="18"/>
          <w:lang w:val="fr-FR"/>
        </w:rPr>
        <w:t xml:space="preserve"> of Agricultural </w:t>
      </w:r>
      <w:proofErr w:type="spellStart"/>
      <w:r w:rsidR="0004582E" w:rsidRPr="004321E7">
        <w:rPr>
          <w:i/>
          <w:sz w:val="18"/>
          <w:szCs w:val="18"/>
          <w:lang w:val="fr-FR"/>
        </w:rPr>
        <w:t>Economics</w:t>
      </w:r>
      <w:proofErr w:type="spellEnd"/>
      <w:r w:rsidR="0004582E" w:rsidRPr="003C704B">
        <w:rPr>
          <w:sz w:val="18"/>
          <w:szCs w:val="18"/>
          <w:lang w:val="fr-FR"/>
        </w:rPr>
        <w:t>, 31(3), 446-469.</w:t>
      </w:r>
    </w:p>
    <w:p w14:paraId="1FDEE803" w14:textId="07AFF369"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SOGORB</w:t>
      </w:r>
      <w:r w:rsidR="0004582E" w:rsidRPr="003C704B">
        <w:rPr>
          <w:sz w:val="18"/>
          <w:szCs w:val="18"/>
          <w:lang w:val="fr-FR"/>
        </w:rPr>
        <w:t xml:space="preserve">, F. (2005). How SME </w:t>
      </w:r>
      <w:proofErr w:type="spellStart"/>
      <w:r w:rsidR="0004582E" w:rsidRPr="003C704B">
        <w:rPr>
          <w:sz w:val="18"/>
          <w:szCs w:val="18"/>
          <w:lang w:val="fr-FR"/>
        </w:rPr>
        <w:t>uniqueness</w:t>
      </w:r>
      <w:proofErr w:type="spellEnd"/>
      <w:r w:rsidR="0004582E" w:rsidRPr="003C704B">
        <w:rPr>
          <w:sz w:val="18"/>
          <w:szCs w:val="18"/>
          <w:lang w:val="fr-FR"/>
        </w:rPr>
        <w:t xml:space="preserve"> affects capital structure: </w:t>
      </w:r>
      <w:proofErr w:type="spellStart"/>
      <w:r w:rsidR="0004582E" w:rsidRPr="003C704B">
        <w:rPr>
          <w:sz w:val="18"/>
          <w:szCs w:val="18"/>
          <w:lang w:val="fr-FR"/>
        </w:rPr>
        <w:t>evidence</w:t>
      </w:r>
      <w:proofErr w:type="spellEnd"/>
      <w:r w:rsidR="0004582E" w:rsidRPr="003C704B">
        <w:rPr>
          <w:sz w:val="18"/>
          <w:szCs w:val="18"/>
          <w:lang w:val="fr-FR"/>
        </w:rPr>
        <w:t xml:space="preserve"> </w:t>
      </w:r>
      <w:proofErr w:type="spellStart"/>
      <w:r w:rsidR="0004582E" w:rsidRPr="003C704B">
        <w:rPr>
          <w:sz w:val="18"/>
          <w:szCs w:val="18"/>
          <w:lang w:val="fr-FR"/>
        </w:rPr>
        <w:t>from</w:t>
      </w:r>
      <w:proofErr w:type="spellEnd"/>
      <w:r w:rsidR="0004582E" w:rsidRPr="003C704B">
        <w:rPr>
          <w:sz w:val="18"/>
          <w:szCs w:val="18"/>
          <w:lang w:val="fr-FR"/>
        </w:rPr>
        <w:t xml:space="preserve"> 1994-1998 </w:t>
      </w:r>
      <w:proofErr w:type="spellStart"/>
      <w:r w:rsidR="0004582E" w:rsidRPr="003C704B">
        <w:rPr>
          <w:sz w:val="18"/>
          <w:szCs w:val="18"/>
          <w:lang w:val="fr-FR"/>
        </w:rPr>
        <w:t>Spanish</w:t>
      </w:r>
      <w:proofErr w:type="spellEnd"/>
      <w:r w:rsidR="0004582E" w:rsidRPr="003C704B">
        <w:rPr>
          <w:sz w:val="18"/>
          <w:szCs w:val="18"/>
          <w:lang w:val="fr-FR"/>
        </w:rPr>
        <w:t xml:space="preserve"> data panel. </w:t>
      </w:r>
      <w:r w:rsidR="0004582E" w:rsidRPr="004321E7">
        <w:rPr>
          <w:i/>
          <w:sz w:val="18"/>
          <w:szCs w:val="18"/>
          <w:lang w:val="fr-FR"/>
        </w:rPr>
        <w:t xml:space="preserve">Small Business </w:t>
      </w:r>
      <w:proofErr w:type="spellStart"/>
      <w:r w:rsidR="0004582E" w:rsidRPr="004321E7">
        <w:rPr>
          <w:i/>
          <w:sz w:val="18"/>
          <w:szCs w:val="18"/>
          <w:lang w:val="fr-FR"/>
        </w:rPr>
        <w:t>Econonomics</w:t>
      </w:r>
      <w:proofErr w:type="spellEnd"/>
      <w:r w:rsidR="0004582E" w:rsidRPr="003C704B">
        <w:rPr>
          <w:sz w:val="18"/>
          <w:szCs w:val="18"/>
          <w:lang w:val="fr-FR"/>
        </w:rPr>
        <w:t>, 25, 5, 447-457.</w:t>
      </w:r>
    </w:p>
    <w:p w14:paraId="4577814C" w14:textId="3D9DB894" w:rsidR="0004582E" w:rsidRPr="003C704B" w:rsidRDefault="003C704B" w:rsidP="003C704B">
      <w:pPr>
        <w:tabs>
          <w:tab w:val="left" w:pos="284"/>
          <w:tab w:val="left" w:pos="454"/>
          <w:tab w:val="left" w:pos="567"/>
        </w:tabs>
        <w:spacing w:line="240" w:lineRule="exact"/>
        <w:ind w:left="284" w:hanging="284"/>
        <w:rPr>
          <w:sz w:val="18"/>
          <w:szCs w:val="18"/>
          <w:lang w:val="fr-FR"/>
        </w:rPr>
      </w:pPr>
      <w:r w:rsidRPr="003C704B">
        <w:rPr>
          <w:sz w:val="18"/>
          <w:szCs w:val="18"/>
          <w:lang w:val="fr-FR"/>
        </w:rPr>
        <w:t>WALD</w:t>
      </w:r>
      <w:r w:rsidR="0004582E" w:rsidRPr="003C704B">
        <w:rPr>
          <w:sz w:val="18"/>
          <w:szCs w:val="18"/>
          <w:lang w:val="fr-FR"/>
        </w:rPr>
        <w:t xml:space="preserve">, J. (1999). How </w:t>
      </w:r>
      <w:proofErr w:type="spellStart"/>
      <w:r w:rsidR="0004582E" w:rsidRPr="003C704B">
        <w:rPr>
          <w:sz w:val="18"/>
          <w:szCs w:val="18"/>
          <w:lang w:val="fr-FR"/>
        </w:rPr>
        <w:t>firm</w:t>
      </w:r>
      <w:proofErr w:type="spellEnd"/>
      <w:r w:rsidR="0004582E" w:rsidRPr="003C704B">
        <w:rPr>
          <w:sz w:val="18"/>
          <w:szCs w:val="18"/>
          <w:lang w:val="fr-FR"/>
        </w:rPr>
        <w:t xml:space="preserve"> </w:t>
      </w:r>
      <w:proofErr w:type="spellStart"/>
      <w:r w:rsidR="0004582E" w:rsidRPr="003C704B">
        <w:rPr>
          <w:sz w:val="18"/>
          <w:szCs w:val="18"/>
          <w:lang w:val="fr-FR"/>
        </w:rPr>
        <w:t>characteristics</w:t>
      </w:r>
      <w:proofErr w:type="spellEnd"/>
      <w:r w:rsidR="0004582E" w:rsidRPr="003C704B">
        <w:rPr>
          <w:sz w:val="18"/>
          <w:szCs w:val="18"/>
          <w:lang w:val="fr-FR"/>
        </w:rPr>
        <w:t xml:space="preserve"> affect capital structure: an international </w:t>
      </w:r>
      <w:proofErr w:type="spellStart"/>
      <w:r w:rsidR="0004582E" w:rsidRPr="003C704B">
        <w:rPr>
          <w:sz w:val="18"/>
          <w:szCs w:val="18"/>
          <w:lang w:val="fr-FR"/>
        </w:rPr>
        <w:t>comparison</w:t>
      </w:r>
      <w:proofErr w:type="spellEnd"/>
      <w:r w:rsidR="0004582E" w:rsidRPr="003C704B">
        <w:rPr>
          <w:sz w:val="18"/>
          <w:szCs w:val="18"/>
          <w:lang w:val="fr-FR"/>
        </w:rPr>
        <w:t xml:space="preserve">. </w:t>
      </w:r>
      <w:r w:rsidR="0004582E" w:rsidRPr="004321E7">
        <w:rPr>
          <w:i/>
          <w:sz w:val="18"/>
          <w:szCs w:val="18"/>
          <w:lang w:val="fr-FR"/>
        </w:rPr>
        <w:t xml:space="preserve">The Journal of Financial </w:t>
      </w:r>
      <w:proofErr w:type="spellStart"/>
      <w:r w:rsidR="0004582E" w:rsidRPr="004321E7">
        <w:rPr>
          <w:i/>
          <w:sz w:val="18"/>
          <w:szCs w:val="18"/>
          <w:lang w:val="fr-FR"/>
        </w:rPr>
        <w:t>Research</w:t>
      </w:r>
      <w:proofErr w:type="spellEnd"/>
      <w:r w:rsidR="0004582E" w:rsidRPr="003C704B">
        <w:rPr>
          <w:sz w:val="18"/>
          <w:szCs w:val="18"/>
          <w:lang w:val="fr-FR"/>
        </w:rPr>
        <w:t>, 22 (2), 161-187.</w:t>
      </w:r>
    </w:p>
    <w:p w14:paraId="14A82205" w14:textId="77777777" w:rsidR="0004582E" w:rsidRPr="00451AFC" w:rsidRDefault="0004582E" w:rsidP="00451AFC">
      <w:pPr>
        <w:ind w:left="708"/>
        <w:rPr>
          <w:rFonts w:ascii="Arial" w:hAnsi="Arial"/>
          <w:sz w:val="22"/>
          <w:szCs w:val="22"/>
        </w:rPr>
      </w:pPr>
    </w:p>
    <w:p w14:paraId="4CD60229" w14:textId="77777777" w:rsidR="00DD1501" w:rsidRDefault="00DD1501" w:rsidP="00A7635D">
      <w:pPr>
        <w:rPr>
          <w:lang w:val="es-ES"/>
        </w:rPr>
      </w:pPr>
    </w:p>
    <w:p w14:paraId="2086E783" w14:textId="77777777" w:rsidR="0004582E" w:rsidRDefault="0004582E" w:rsidP="00A7635D">
      <w:pPr>
        <w:rPr>
          <w:lang w:val="es-ES"/>
        </w:rPr>
      </w:pPr>
    </w:p>
    <w:p w14:paraId="726C5F9C" w14:textId="77777777" w:rsidR="0004582E" w:rsidRDefault="0004582E" w:rsidP="00A7635D">
      <w:pPr>
        <w:rPr>
          <w:lang w:val="es-ES"/>
        </w:rPr>
      </w:pPr>
    </w:p>
    <w:p w14:paraId="429CC767" w14:textId="77777777" w:rsidR="0004582E" w:rsidRDefault="0004582E" w:rsidP="00A7635D">
      <w:pPr>
        <w:rPr>
          <w:lang w:val="es-ES"/>
        </w:rPr>
      </w:pPr>
    </w:p>
    <w:p w14:paraId="139A8B45" w14:textId="77777777" w:rsidR="0004582E" w:rsidRDefault="0004582E" w:rsidP="00A7635D">
      <w:pPr>
        <w:rPr>
          <w:lang w:val="es-ES"/>
        </w:rPr>
      </w:pPr>
    </w:p>
    <w:p w14:paraId="2ADD892B" w14:textId="77777777" w:rsidR="0004582E" w:rsidRDefault="0004582E" w:rsidP="00A7635D">
      <w:pPr>
        <w:rPr>
          <w:lang w:val="es-ES"/>
        </w:rPr>
      </w:pPr>
    </w:p>
    <w:p w14:paraId="5471B1B4" w14:textId="77777777" w:rsidR="003C184F" w:rsidRPr="00577AD3" w:rsidRDefault="003C184F" w:rsidP="00E72CE3">
      <w:pPr>
        <w:pStyle w:val="ReferenciasBibliografa"/>
        <w:rPr>
          <w:lang w:val="fr-FR"/>
        </w:rPr>
      </w:pPr>
    </w:p>
    <w:sectPr w:rsidR="003C184F" w:rsidRPr="00577AD3" w:rsidSect="00B02AF6">
      <w:headerReference w:type="even" r:id="rId9"/>
      <w:headerReference w:type="default" r:id="rId10"/>
      <w:footerReference w:type="even" r:id="rId11"/>
      <w:footerReference w:type="default" r:id="rId12"/>
      <w:headerReference w:type="first" r:id="rId13"/>
      <w:footerReference w:type="first" r:id="rId14"/>
      <w:pgSz w:w="11907" w:h="16840" w:code="9"/>
      <w:pgMar w:top="1242" w:right="1134" w:bottom="1332" w:left="1134" w:header="624"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49255" w14:textId="77777777" w:rsidR="003A7CFD" w:rsidRDefault="003A7CFD" w:rsidP="00F272E1">
      <w:r>
        <w:separator/>
      </w:r>
    </w:p>
  </w:endnote>
  <w:endnote w:type="continuationSeparator" w:id="0">
    <w:p w14:paraId="7C35F583" w14:textId="77777777" w:rsidR="003A7CFD" w:rsidRDefault="003A7CFD"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72788424"/>
      <w:docPartObj>
        <w:docPartGallery w:val="Page Numbers (Bottom of Page)"/>
        <w:docPartUnique/>
      </w:docPartObj>
    </w:sdtPr>
    <w:sdtEndPr>
      <w:rPr>
        <w:sz w:val="14"/>
        <w:szCs w:val="14"/>
      </w:rPr>
    </w:sdtEndPr>
    <w:sdtContent>
      <w:p w14:paraId="351AE032" w14:textId="77777777" w:rsidR="00451AFC" w:rsidRPr="00CB37C8" w:rsidRDefault="00451AFC" w:rsidP="00160CF3">
        <w:pPr>
          <w:pStyle w:val="Piedepgina"/>
          <w:tabs>
            <w:tab w:val="right" w:pos="7371"/>
          </w:tabs>
          <w:spacing w:after="60" w:line="240" w:lineRule="auto"/>
          <w:jc w:val="center"/>
          <w:rPr>
            <w:sz w:val="18"/>
            <w:szCs w:val="18"/>
            <w:lang w:val="es-ES"/>
          </w:rPr>
        </w:pPr>
        <w:r w:rsidRPr="00CB37C8">
          <w:rPr>
            <w:sz w:val="18"/>
            <w:szCs w:val="18"/>
            <w:lang w:val="es-ES"/>
          </w:rPr>
          <w:t xml:space="preserve">Esta obra está bajo una </w:t>
        </w:r>
        <w:hyperlink r:id="rId1" w:history="1">
          <w:r w:rsidRPr="004446C1">
            <w:rPr>
              <w:rStyle w:val="Hipervnculo"/>
              <w:sz w:val="18"/>
              <w:szCs w:val="18"/>
              <w:lang w:val="es-ES"/>
            </w:rPr>
            <w:t xml:space="preserve">Licencia </w:t>
          </w:r>
          <w:proofErr w:type="spellStart"/>
          <w:r w:rsidRPr="004446C1">
            <w:rPr>
              <w:rStyle w:val="Hipervnculo"/>
              <w:sz w:val="18"/>
              <w:szCs w:val="18"/>
              <w:lang w:val="es-ES"/>
            </w:rPr>
            <w:t>Creative</w:t>
          </w:r>
          <w:proofErr w:type="spellEnd"/>
          <w:r w:rsidRPr="004446C1">
            <w:rPr>
              <w:rStyle w:val="Hipervnculo"/>
              <w:sz w:val="18"/>
              <w:szCs w:val="18"/>
              <w:lang w:val="es-ES"/>
            </w:rPr>
            <w:t xml:space="preserve"> </w:t>
          </w:r>
          <w:proofErr w:type="spellStart"/>
          <w:r w:rsidRPr="004446C1">
            <w:rPr>
              <w:rStyle w:val="Hipervnculo"/>
              <w:sz w:val="18"/>
              <w:szCs w:val="18"/>
              <w:lang w:val="es-ES"/>
            </w:rPr>
            <w:t>Commons</w:t>
          </w:r>
          <w:proofErr w:type="spellEnd"/>
          <w:r w:rsidRPr="004446C1">
            <w:rPr>
              <w:rStyle w:val="Hipervnculo"/>
              <w:sz w:val="18"/>
              <w:szCs w:val="18"/>
              <w:lang w:val="es-ES"/>
            </w:rPr>
            <w:t xml:space="preserve"> CC BY-NC-ND 4.0</w:t>
          </w:r>
        </w:hyperlink>
      </w:p>
      <w:p w14:paraId="03033EEE" w14:textId="3D557397" w:rsidR="00451AFC" w:rsidRPr="00160CF3" w:rsidRDefault="00451AFC" w:rsidP="00160CF3">
        <w:pPr>
          <w:pStyle w:val="Piedepgina"/>
          <w:tabs>
            <w:tab w:val="clear" w:pos="4252"/>
            <w:tab w:val="clear" w:pos="8504"/>
            <w:tab w:val="right" w:pos="7371"/>
          </w:tabs>
          <w:spacing w:before="120" w:after="0" w:line="240" w:lineRule="auto"/>
          <w:jc w:val="center"/>
          <w:rPr>
            <w:sz w:val="14"/>
            <w:szCs w:val="14"/>
            <w:lang w:val="es-ES"/>
          </w:rPr>
        </w:pPr>
        <w:r w:rsidRPr="005906B2">
          <w:rPr>
            <w:sz w:val="14"/>
            <w:szCs w:val="14"/>
            <w:lang w:val="es-ES"/>
          </w:rPr>
          <w:t>EDITORIAL UNIVERSITAT POLITÈCNICA DE VALÈNCIA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83133832"/>
      <w:docPartObj>
        <w:docPartGallery w:val="Page Numbers (Bottom of Page)"/>
        <w:docPartUnique/>
      </w:docPartObj>
    </w:sdtPr>
    <w:sdtEndPr>
      <w:rPr>
        <w:sz w:val="14"/>
        <w:szCs w:val="14"/>
      </w:rPr>
    </w:sdtEndPr>
    <w:sdtContent>
      <w:p w14:paraId="7BE78778" w14:textId="77777777" w:rsidR="00451AFC" w:rsidRPr="00CB37C8" w:rsidRDefault="00451AFC" w:rsidP="00F75554">
        <w:pPr>
          <w:pStyle w:val="Piedepgina"/>
          <w:tabs>
            <w:tab w:val="right" w:pos="7371"/>
          </w:tabs>
          <w:spacing w:after="60" w:line="240" w:lineRule="auto"/>
          <w:jc w:val="center"/>
          <w:rPr>
            <w:sz w:val="18"/>
            <w:szCs w:val="18"/>
            <w:lang w:val="es-ES"/>
          </w:rPr>
        </w:pPr>
        <w:r w:rsidRPr="00CB37C8">
          <w:rPr>
            <w:sz w:val="18"/>
            <w:szCs w:val="18"/>
            <w:lang w:val="es-ES"/>
          </w:rPr>
          <w:t xml:space="preserve">Esta obra está bajo una </w:t>
        </w:r>
        <w:hyperlink r:id="rId1" w:history="1">
          <w:r w:rsidRPr="004446C1">
            <w:rPr>
              <w:rStyle w:val="Hipervnculo"/>
              <w:sz w:val="18"/>
              <w:szCs w:val="18"/>
              <w:lang w:val="es-ES"/>
            </w:rPr>
            <w:t xml:space="preserve">Licencia </w:t>
          </w:r>
          <w:proofErr w:type="spellStart"/>
          <w:r w:rsidRPr="004446C1">
            <w:rPr>
              <w:rStyle w:val="Hipervnculo"/>
              <w:sz w:val="18"/>
              <w:szCs w:val="18"/>
              <w:lang w:val="es-ES"/>
            </w:rPr>
            <w:t>Creative</w:t>
          </w:r>
          <w:proofErr w:type="spellEnd"/>
          <w:r w:rsidRPr="004446C1">
            <w:rPr>
              <w:rStyle w:val="Hipervnculo"/>
              <w:sz w:val="18"/>
              <w:szCs w:val="18"/>
              <w:lang w:val="es-ES"/>
            </w:rPr>
            <w:t xml:space="preserve"> </w:t>
          </w:r>
          <w:proofErr w:type="spellStart"/>
          <w:r w:rsidRPr="004446C1">
            <w:rPr>
              <w:rStyle w:val="Hipervnculo"/>
              <w:sz w:val="18"/>
              <w:szCs w:val="18"/>
              <w:lang w:val="es-ES"/>
            </w:rPr>
            <w:t>Commons</w:t>
          </w:r>
          <w:proofErr w:type="spellEnd"/>
          <w:r w:rsidRPr="004446C1">
            <w:rPr>
              <w:rStyle w:val="Hipervnculo"/>
              <w:sz w:val="18"/>
              <w:szCs w:val="18"/>
              <w:lang w:val="es-ES"/>
            </w:rPr>
            <w:t xml:space="preserve"> CC BY-NC-ND 4.0</w:t>
          </w:r>
        </w:hyperlink>
      </w:p>
      <w:p w14:paraId="26AB2618" w14:textId="7D342819" w:rsidR="00451AFC" w:rsidRPr="00EF0F53" w:rsidRDefault="00451AFC" w:rsidP="00F75554">
        <w:pPr>
          <w:pStyle w:val="Piedepgina"/>
          <w:tabs>
            <w:tab w:val="clear" w:pos="4252"/>
            <w:tab w:val="clear" w:pos="8504"/>
            <w:tab w:val="right" w:pos="7371"/>
          </w:tabs>
          <w:spacing w:before="120" w:after="0" w:line="240" w:lineRule="auto"/>
          <w:jc w:val="center"/>
          <w:rPr>
            <w:sz w:val="14"/>
            <w:szCs w:val="14"/>
            <w:lang w:val="es-ES"/>
          </w:rPr>
        </w:pPr>
        <w:r w:rsidRPr="00EF0F53">
          <w:rPr>
            <w:sz w:val="14"/>
            <w:szCs w:val="14"/>
            <w:lang w:val="es-ES"/>
          </w:rPr>
          <w:t>EDITORIAL UNIVERSITAT POLITÈCNICA DE VALÈNCIA</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49508712"/>
      <w:docPartObj>
        <w:docPartGallery w:val="Page Numbers (Bottom of Page)"/>
        <w:docPartUnique/>
      </w:docPartObj>
    </w:sdtPr>
    <w:sdtEndPr>
      <w:rPr>
        <w:sz w:val="14"/>
        <w:szCs w:val="14"/>
      </w:rPr>
    </w:sdtEndPr>
    <w:sdtContent>
      <w:p w14:paraId="3C8366BE" w14:textId="7C4E4752" w:rsidR="00451AFC" w:rsidRPr="00CB37C8" w:rsidRDefault="00451AFC" w:rsidP="00F75554">
        <w:pPr>
          <w:pStyle w:val="Piedepgina"/>
          <w:tabs>
            <w:tab w:val="right" w:pos="7371"/>
          </w:tabs>
          <w:spacing w:after="60" w:line="240" w:lineRule="auto"/>
          <w:jc w:val="center"/>
          <w:rPr>
            <w:sz w:val="18"/>
            <w:szCs w:val="18"/>
            <w:lang w:val="es-ES"/>
          </w:rPr>
        </w:pPr>
        <w:r w:rsidRPr="00CB37C8">
          <w:rPr>
            <w:sz w:val="18"/>
            <w:szCs w:val="18"/>
            <w:lang w:val="es-ES"/>
          </w:rPr>
          <w:t xml:space="preserve">Esta obra está bajo una </w:t>
        </w:r>
        <w:hyperlink r:id="rId1" w:history="1">
          <w:r w:rsidRPr="004446C1">
            <w:rPr>
              <w:rStyle w:val="Hipervnculo"/>
              <w:sz w:val="18"/>
              <w:szCs w:val="18"/>
              <w:lang w:val="es-ES"/>
            </w:rPr>
            <w:t xml:space="preserve">Licencia </w:t>
          </w:r>
          <w:proofErr w:type="spellStart"/>
          <w:r w:rsidRPr="004446C1">
            <w:rPr>
              <w:rStyle w:val="Hipervnculo"/>
              <w:sz w:val="18"/>
              <w:szCs w:val="18"/>
              <w:lang w:val="es-ES"/>
            </w:rPr>
            <w:t>Creative</w:t>
          </w:r>
          <w:proofErr w:type="spellEnd"/>
          <w:r w:rsidRPr="004446C1">
            <w:rPr>
              <w:rStyle w:val="Hipervnculo"/>
              <w:sz w:val="18"/>
              <w:szCs w:val="18"/>
              <w:lang w:val="es-ES"/>
            </w:rPr>
            <w:t xml:space="preserve"> </w:t>
          </w:r>
          <w:proofErr w:type="spellStart"/>
          <w:r w:rsidRPr="004446C1">
            <w:rPr>
              <w:rStyle w:val="Hipervnculo"/>
              <w:sz w:val="18"/>
              <w:szCs w:val="18"/>
              <w:lang w:val="es-ES"/>
            </w:rPr>
            <w:t>Commons</w:t>
          </w:r>
          <w:proofErr w:type="spellEnd"/>
          <w:r w:rsidRPr="004446C1">
            <w:rPr>
              <w:rStyle w:val="Hipervnculo"/>
              <w:sz w:val="18"/>
              <w:szCs w:val="18"/>
              <w:lang w:val="es-ES"/>
            </w:rPr>
            <w:t xml:space="preserve"> CC BY-NC-ND 4.0</w:t>
          </w:r>
        </w:hyperlink>
      </w:p>
      <w:p w14:paraId="4B6E74F5" w14:textId="186E71FB" w:rsidR="00451AFC" w:rsidRPr="005906B2" w:rsidRDefault="00451AFC" w:rsidP="00F75554">
        <w:pPr>
          <w:pStyle w:val="Piedepgina"/>
          <w:tabs>
            <w:tab w:val="clear" w:pos="4252"/>
            <w:tab w:val="clear" w:pos="8504"/>
            <w:tab w:val="right" w:pos="7371"/>
          </w:tabs>
          <w:spacing w:before="120" w:after="0" w:line="240" w:lineRule="auto"/>
          <w:jc w:val="center"/>
          <w:rPr>
            <w:sz w:val="14"/>
            <w:szCs w:val="14"/>
            <w:lang w:val="es-ES"/>
          </w:rPr>
        </w:pPr>
        <w:r w:rsidRPr="005906B2">
          <w:rPr>
            <w:sz w:val="14"/>
            <w:szCs w:val="14"/>
            <w:lang w:val="es-ES"/>
          </w:rPr>
          <w:t>EDITORIAL UNIVERSITAT POLITÈCNICA DE VALÈNCIA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1A73D" w14:textId="77777777" w:rsidR="003A7CFD" w:rsidRPr="00C849BD" w:rsidRDefault="003A7CFD"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18CF3078" w14:textId="77777777" w:rsidR="003A7CFD" w:rsidRPr="008550A9" w:rsidRDefault="003A7CFD"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455A3" w14:textId="636C0A68" w:rsidR="00451AFC" w:rsidRPr="00C46D81" w:rsidRDefault="00451AFC" w:rsidP="00C46D81">
    <w:pPr>
      <w:pStyle w:val="Encabezado"/>
      <w:jc w:val="left"/>
      <w:rPr>
        <w:i/>
        <w:sz w:val="18"/>
        <w:szCs w:val="18"/>
        <w:lang w:val="es-ES"/>
      </w:rPr>
    </w:pPr>
    <w:r w:rsidRPr="00C46D81">
      <w:rPr>
        <w:i/>
        <w:lang w:val="es-ES"/>
      </w:rPr>
      <w:t xml:space="preserve"> </w:t>
    </w:r>
    <w:r>
      <w:rPr>
        <w:i/>
        <w:sz w:val="18"/>
        <w:szCs w:val="18"/>
        <w:lang w:val="es-ES"/>
      </w:rPr>
      <w:t>Modelo de gobierno corporativo y estructura financiera en las cooperativas agrarias españolas: un estudio empírico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26140" w14:textId="1791C236" w:rsidR="00451AFC" w:rsidRPr="00C551C4" w:rsidRDefault="00451AFC" w:rsidP="00C31FD6">
    <w:pPr>
      <w:pStyle w:val="Encabezado"/>
      <w:tabs>
        <w:tab w:val="clear" w:pos="4252"/>
        <w:tab w:val="clear" w:pos="8504"/>
        <w:tab w:val="right" w:pos="7371"/>
      </w:tabs>
      <w:rPr>
        <w:i/>
        <w:sz w:val="18"/>
        <w:szCs w:val="18"/>
        <w:lang w:val="es-ES"/>
      </w:rPr>
    </w:pPr>
    <w:r>
      <w:rPr>
        <w:i/>
        <w:sz w:val="18"/>
        <w:szCs w:val="18"/>
        <w:lang w:val="es-ES"/>
      </w:rPr>
      <w:t>Mateos-Ronco, A.; Guzmán, S.</w:t>
    </w:r>
  </w:p>
  <w:p w14:paraId="241976DF" w14:textId="77777777" w:rsidR="00451AFC" w:rsidRPr="00C551C4" w:rsidRDefault="00451AFC" w:rsidP="00F272E1">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547A6" w14:textId="1A46FADC" w:rsidR="00451AFC" w:rsidRPr="00050AFF" w:rsidRDefault="00451AFC" w:rsidP="00050AFF">
    <w:pPr>
      <w:widowControl w:val="0"/>
      <w:kinsoku w:val="0"/>
      <w:overflowPunct w:val="0"/>
      <w:autoSpaceDE w:val="0"/>
      <w:autoSpaceDN w:val="0"/>
      <w:adjustRightInd w:val="0"/>
      <w:spacing w:after="40" w:line="240" w:lineRule="auto"/>
      <w:jc w:val="right"/>
      <w:rPr>
        <w:rFonts w:eastAsiaTheme="minorEastAsia"/>
        <w:i/>
        <w:iCs/>
        <w:spacing w:val="-1"/>
        <w:sz w:val="18"/>
        <w:szCs w:val="18"/>
        <w:lang w:val="es-ES"/>
      </w:rPr>
    </w:pPr>
    <w:proofErr w:type="spellStart"/>
    <w:r>
      <w:rPr>
        <w:rFonts w:eastAsiaTheme="minorEastAsia"/>
        <w:i/>
        <w:iCs/>
        <w:spacing w:val="-1"/>
        <w:sz w:val="18"/>
        <w:szCs w:val="18"/>
        <w:lang w:val="es-ES"/>
      </w:rPr>
      <w:t>Workshop</w:t>
    </w:r>
    <w:proofErr w:type="spellEnd"/>
    <w:r>
      <w:rPr>
        <w:rFonts w:eastAsiaTheme="minorEastAsia"/>
        <w:i/>
        <w:iCs/>
        <w:spacing w:val="-1"/>
        <w:sz w:val="18"/>
        <w:szCs w:val="18"/>
        <w:lang w:val="es-ES"/>
      </w:rPr>
      <w:t xml:space="preserve"> Nuevos sistemas de gobierno en la Economía Social</w:t>
    </w:r>
  </w:p>
  <w:p w14:paraId="1F6A9269" w14:textId="50B853DB" w:rsidR="00451AFC" w:rsidRPr="00050AFF" w:rsidRDefault="00451AFC" w:rsidP="00050AFF">
    <w:pPr>
      <w:widowControl w:val="0"/>
      <w:kinsoku w:val="0"/>
      <w:overflowPunct w:val="0"/>
      <w:autoSpaceDE w:val="0"/>
      <w:autoSpaceDN w:val="0"/>
      <w:adjustRightInd w:val="0"/>
      <w:spacing w:after="40" w:line="240" w:lineRule="auto"/>
      <w:jc w:val="right"/>
      <w:rPr>
        <w:rFonts w:eastAsiaTheme="minorEastAsia"/>
        <w:sz w:val="18"/>
        <w:szCs w:val="18"/>
        <w:lang w:val="es-ES"/>
      </w:rPr>
    </w:pPr>
    <w:r>
      <w:rPr>
        <w:rFonts w:eastAsiaTheme="minorEastAsia"/>
        <w:spacing w:val="-1"/>
        <w:sz w:val="18"/>
        <w:szCs w:val="18"/>
        <w:lang w:val="es-ES"/>
      </w:rPr>
      <w:t xml:space="preserve">Valencia, </w:t>
    </w:r>
    <w:proofErr w:type="spellStart"/>
    <w:r>
      <w:rPr>
        <w:rFonts w:eastAsiaTheme="minorEastAsia"/>
        <w:spacing w:val="-1"/>
        <w:sz w:val="18"/>
        <w:szCs w:val="18"/>
        <w:lang w:val="es-ES"/>
      </w:rPr>
      <w:t>Universitat</w:t>
    </w:r>
    <w:proofErr w:type="spellEnd"/>
    <w:r>
      <w:rPr>
        <w:rFonts w:eastAsiaTheme="minorEastAsia"/>
        <w:spacing w:val="-1"/>
        <w:sz w:val="18"/>
        <w:szCs w:val="18"/>
        <w:lang w:val="es-ES"/>
      </w:rPr>
      <w:t xml:space="preserve"> </w:t>
    </w:r>
    <w:proofErr w:type="spellStart"/>
    <w:r>
      <w:rPr>
        <w:rFonts w:eastAsiaTheme="minorEastAsia"/>
        <w:spacing w:val="-1"/>
        <w:sz w:val="18"/>
        <w:szCs w:val="18"/>
        <w:lang w:val="es-ES"/>
      </w:rPr>
      <w:t>Politècnica</w:t>
    </w:r>
    <w:proofErr w:type="spellEnd"/>
    <w:r>
      <w:rPr>
        <w:rFonts w:eastAsiaTheme="minorEastAsia"/>
        <w:spacing w:val="-1"/>
        <w:sz w:val="18"/>
        <w:szCs w:val="18"/>
        <w:lang w:val="es-ES"/>
      </w:rPr>
      <w:t xml:space="preserve"> de </w:t>
    </w:r>
    <w:proofErr w:type="spellStart"/>
    <w:r>
      <w:rPr>
        <w:rFonts w:eastAsiaTheme="minorEastAsia"/>
        <w:spacing w:val="-1"/>
        <w:sz w:val="18"/>
        <w:szCs w:val="18"/>
        <w:lang w:val="es-ES"/>
      </w:rPr>
      <w:t>València</w:t>
    </w:r>
    <w:proofErr w:type="spellEnd"/>
    <w:r>
      <w:rPr>
        <w:rFonts w:eastAsiaTheme="minorEastAsia"/>
        <w:spacing w:val="-1"/>
        <w:sz w:val="18"/>
        <w:szCs w:val="18"/>
        <w:lang w:val="es-ES"/>
      </w:rPr>
      <w:t>, 10 de diciembre de 2015</w:t>
    </w:r>
  </w:p>
  <w:p w14:paraId="11DE4AFD" w14:textId="672DB877" w:rsidR="00451AFC" w:rsidRPr="00C551C4" w:rsidRDefault="00451AFC" w:rsidP="00050AFF">
    <w:pPr>
      <w:pStyle w:val="Encabezado"/>
      <w:rPr>
        <w:rFonts w:eastAsiaTheme="minorEastAsia"/>
        <w:spacing w:val="-1"/>
        <w:sz w:val="18"/>
        <w:szCs w:val="18"/>
      </w:rPr>
    </w:pPr>
    <w:r w:rsidRPr="00C551C4">
      <w:rPr>
        <w:rFonts w:eastAsiaTheme="minorEastAsia"/>
        <w:spacing w:val="-1"/>
        <w:sz w:val="18"/>
        <w:szCs w:val="18"/>
      </w:rPr>
      <w:t xml:space="preserve">DOI: </w:t>
    </w:r>
    <w:hyperlink r:id="rId1" w:history="1">
      <w:r w:rsidRPr="00C551C4">
        <w:rPr>
          <w:rFonts w:eastAsiaTheme="minorEastAsia"/>
          <w:spacing w:val="-1"/>
          <w:sz w:val="18"/>
          <w:szCs w:val="18"/>
        </w:rPr>
        <w:t>http://dx.doi.org/10.4995/ACRONIMO.2015.****</w:t>
      </w:r>
    </w:hyperlink>
  </w:p>
  <w:p w14:paraId="3764C28F" w14:textId="77777777" w:rsidR="00451AFC" w:rsidRPr="00C551C4" w:rsidRDefault="00451AFC" w:rsidP="00050AFF">
    <w:pPr>
      <w:pStyle w:val="Encabezado"/>
      <w:rPr>
        <w:sz w:val="18"/>
        <w:szCs w:val="18"/>
      </w:rPr>
    </w:pPr>
  </w:p>
  <w:p w14:paraId="17EF7533" w14:textId="77777777" w:rsidR="00451AFC" w:rsidRPr="00C551C4" w:rsidRDefault="00451AFC" w:rsidP="00F272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A3E1212"/>
    <w:lvl w:ilvl="0">
      <w:start w:val="1"/>
      <w:numFmt w:val="decimal"/>
      <w:lvlText w:val="%1."/>
      <w:lvlJc w:val="left"/>
      <w:pPr>
        <w:tabs>
          <w:tab w:val="num" w:pos="1492"/>
        </w:tabs>
        <w:ind w:left="1492" w:hanging="360"/>
      </w:pPr>
    </w:lvl>
  </w:abstractNum>
  <w:abstractNum w:abstractNumId="1">
    <w:nsid w:val="FFFFFF7D"/>
    <w:multiLevelType w:val="singleLevel"/>
    <w:tmpl w:val="BB647DB2"/>
    <w:lvl w:ilvl="0">
      <w:start w:val="1"/>
      <w:numFmt w:val="decimal"/>
      <w:lvlText w:val="%1."/>
      <w:lvlJc w:val="left"/>
      <w:pPr>
        <w:tabs>
          <w:tab w:val="num" w:pos="1209"/>
        </w:tabs>
        <w:ind w:left="1209" w:hanging="360"/>
      </w:pPr>
    </w:lvl>
  </w:abstractNum>
  <w:abstractNum w:abstractNumId="2">
    <w:nsid w:val="FFFFFF7E"/>
    <w:multiLevelType w:val="singleLevel"/>
    <w:tmpl w:val="C958D4FC"/>
    <w:lvl w:ilvl="0">
      <w:start w:val="1"/>
      <w:numFmt w:val="decimal"/>
      <w:lvlText w:val="%1."/>
      <w:lvlJc w:val="left"/>
      <w:pPr>
        <w:tabs>
          <w:tab w:val="num" w:pos="926"/>
        </w:tabs>
        <w:ind w:left="926" w:hanging="360"/>
      </w:pPr>
    </w:lvl>
  </w:abstractNum>
  <w:abstractNum w:abstractNumId="3">
    <w:nsid w:val="FFFFFF7F"/>
    <w:multiLevelType w:val="singleLevel"/>
    <w:tmpl w:val="7DB2B7E2"/>
    <w:lvl w:ilvl="0">
      <w:start w:val="1"/>
      <w:numFmt w:val="decimal"/>
      <w:lvlText w:val="%1."/>
      <w:lvlJc w:val="left"/>
      <w:pPr>
        <w:tabs>
          <w:tab w:val="num" w:pos="643"/>
        </w:tabs>
        <w:ind w:left="643" w:hanging="360"/>
      </w:pPr>
    </w:lvl>
  </w:abstractNum>
  <w:abstractNum w:abstractNumId="4">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4C8100"/>
    <w:lvl w:ilvl="0">
      <w:start w:val="1"/>
      <w:numFmt w:val="decimal"/>
      <w:lvlText w:val="%1."/>
      <w:lvlJc w:val="left"/>
      <w:pPr>
        <w:tabs>
          <w:tab w:val="num" w:pos="360"/>
        </w:tabs>
        <w:ind w:left="360" w:hanging="360"/>
      </w:pPr>
    </w:lvl>
  </w:abstractNum>
  <w:abstractNum w:abstractNumId="9">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72109B8"/>
    <w:multiLevelType w:val="multilevel"/>
    <w:tmpl w:val="7DBE6B32"/>
    <w:lvl w:ilvl="0">
      <w:start w:val="1"/>
      <w:numFmt w:val="decimal"/>
      <w:lvlText w:val="%1."/>
      <w:lvlJc w:val="left"/>
      <w:pPr>
        <w:ind w:left="360" w:hanging="360"/>
      </w:pPr>
      <w:rPr>
        <w:rFonts w:hint="default"/>
      </w:rPr>
    </w:lvl>
    <w:lvl w:ilvl="1">
      <w:start w:val="3"/>
      <w:numFmt w:val="decimal"/>
      <w:lvlText w:val="%2.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BE1004B"/>
    <w:multiLevelType w:val="hybridMultilevel"/>
    <w:tmpl w:val="71683362"/>
    <w:lvl w:ilvl="0" w:tplc="CF3A7538">
      <w:start w:val="3"/>
      <w:numFmt w:val="decimal"/>
      <w:lvlText w:val="%1."/>
      <w:lvlJc w:val="left"/>
      <w:pPr>
        <w:ind w:left="1068"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2DD22D3"/>
    <w:multiLevelType w:val="hybridMultilevel"/>
    <w:tmpl w:val="214A9B92"/>
    <w:lvl w:ilvl="0" w:tplc="D7C4F14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2"/>
  </w:num>
  <w:num w:numId="12">
    <w:abstractNumId w:val="20"/>
  </w:num>
  <w:num w:numId="13">
    <w:abstractNumId w:val="15"/>
  </w:num>
  <w:num w:numId="14">
    <w:abstractNumId w:val="11"/>
  </w:num>
  <w:num w:numId="15">
    <w:abstractNumId w:val="16"/>
  </w:num>
  <w:num w:numId="16">
    <w:abstractNumId w:val="14"/>
  </w:num>
  <w:num w:numId="17">
    <w:abstractNumId w:val="13"/>
  </w:num>
  <w:num w:numId="18">
    <w:abstractNumId w:val="18"/>
  </w:num>
  <w:num w:numId="19">
    <w:abstractNumId w:val="19"/>
  </w:num>
  <w:num w:numId="20">
    <w:abstractNumId w:val="21"/>
  </w:num>
  <w:num w:numId="21">
    <w:abstractNumId w:val="10"/>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3C"/>
    <w:rsid w:val="00033DCD"/>
    <w:rsid w:val="0004582E"/>
    <w:rsid w:val="00050AFF"/>
    <w:rsid w:val="0007400B"/>
    <w:rsid w:val="00096E3C"/>
    <w:rsid w:val="000B3D00"/>
    <w:rsid w:val="000B5046"/>
    <w:rsid w:val="000B64AD"/>
    <w:rsid w:val="000D6EE8"/>
    <w:rsid w:val="000E72B8"/>
    <w:rsid w:val="00111BF1"/>
    <w:rsid w:val="0011489B"/>
    <w:rsid w:val="00127F28"/>
    <w:rsid w:val="00134B79"/>
    <w:rsid w:val="0013543C"/>
    <w:rsid w:val="00147C56"/>
    <w:rsid w:val="001608B1"/>
    <w:rsid w:val="00160CF3"/>
    <w:rsid w:val="00167700"/>
    <w:rsid w:val="001739BB"/>
    <w:rsid w:val="001766BA"/>
    <w:rsid w:val="00177567"/>
    <w:rsid w:val="0017790E"/>
    <w:rsid w:val="001869ED"/>
    <w:rsid w:val="00193D02"/>
    <w:rsid w:val="001D5DEE"/>
    <w:rsid w:val="001E01B5"/>
    <w:rsid w:val="001E2646"/>
    <w:rsid w:val="00204ED5"/>
    <w:rsid w:val="002073EC"/>
    <w:rsid w:val="00236DF2"/>
    <w:rsid w:val="00256628"/>
    <w:rsid w:val="00256C31"/>
    <w:rsid w:val="00264895"/>
    <w:rsid w:val="00296CCA"/>
    <w:rsid w:val="002A0550"/>
    <w:rsid w:val="002B084F"/>
    <w:rsid w:val="002B1563"/>
    <w:rsid w:val="002E4F4F"/>
    <w:rsid w:val="002F4D48"/>
    <w:rsid w:val="002F6667"/>
    <w:rsid w:val="00326EA1"/>
    <w:rsid w:val="00333514"/>
    <w:rsid w:val="0034267D"/>
    <w:rsid w:val="00343F8B"/>
    <w:rsid w:val="0035232F"/>
    <w:rsid w:val="00367AE8"/>
    <w:rsid w:val="00384158"/>
    <w:rsid w:val="0039349D"/>
    <w:rsid w:val="00395CC2"/>
    <w:rsid w:val="003A7CFD"/>
    <w:rsid w:val="003C184F"/>
    <w:rsid w:val="003C249E"/>
    <w:rsid w:val="003C704B"/>
    <w:rsid w:val="003D65F8"/>
    <w:rsid w:val="003F64B7"/>
    <w:rsid w:val="0041201F"/>
    <w:rsid w:val="00421B24"/>
    <w:rsid w:val="004321E7"/>
    <w:rsid w:val="00435F38"/>
    <w:rsid w:val="004446C1"/>
    <w:rsid w:val="0044653F"/>
    <w:rsid w:val="00451AFC"/>
    <w:rsid w:val="0045629E"/>
    <w:rsid w:val="00471A36"/>
    <w:rsid w:val="0047299F"/>
    <w:rsid w:val="00491D82"/>
    <w:rsid w:val="00494719"/>
    <w:rsid w:val="004D3148"/>
    <w:rsid w:val="004E06D8"/>
    <w:rsid w:val="004E3B1B"/>
    <w:rsid w:val="00507E53"/>
    <w:rsid w:val="005175C0"/>
    <w:rsid w:val="00521905"/>
    <w:rsid w:val="00535532"/>
    <w:rsid w:val="005403F3"/>
    <w:rsid w:val="00541A19"/>
    <w:rsid w:val="00543BF3"/>
    <w:rsid w:val="0054451D"/>
    <w:rsid w:val="0055162E"/>
    <w:rsid w:val="00554580"/>
    <w:rsid w:val="00554A93"/>
    <w:rsid w:val="00560A50"/>
    <w:rsid w:val="0056295A"/>
    <w:rsid w:val="0056728D"/>
    <w:rsid w:val="00575934"/>
    <w:rsid w:val="00577AD3"/>
    <w:rsid w:val="005906B2"/>
    <w:rsid w:val="00595A5D"/>
    <w:rsid w:val="005B08C2"/>
    <w:rsid w:val="005B0916"/>
    <w:rsid w:val="005B3E08"/>
    <w:rsid w:val="005B6194"/>
    <w:rsid w:val="005D0A3E"/>
    <w:rsid w:val="00613A71"/>
    <w:rsid w:val="0061777B"/>
    <w:rsid w:val="00664733"/>
    <w:rsid w:val="00672A5B"/>
    <w:rsid w:val="00681F8A"/>
    <w:rsid w:val="00682C94"/>
    <w:rsid w:val="0068323A"/>
    <w:rsid w:val="00686815"/>
    <w:rsid w:val="006A37CB"/>
    <w:rsid w:val="006B2281"/>
    <w:rsid w:val="006B3FB2"/>
    <w:rsid w:val="006E3CED"/>
    <w:rsid w:val="006E6764"/>
    <w:rsid w:val="007202F8"/>
    <w:rsid w:val="00730526"/>
    <w:rsid w:val="00732262"/>
    <w:rsid w:val="00744645"/>
    <w:rsid w:val="00747B73"/>
    <w:rsid w:val="0076250F"/>
    <w:rsid w:val="007679A8"/>
    <w:rsid w:val="00782C1A"/>
    <w:rsid w:val="007849F5"/>
    <w:rsid w:val="00786FC0"/>
    <w:rsid w:val="00796E54"/>
    <w:rsid w:val="007A0253"/>
    <w:rsid w:val="007A1520"/>
    <w:rsid w:val="007E280F"/>
    <w:rsid w:val="007E5598"/>
    <w:rsid w:val="00806007"/>
    <w:rsid w:val="00825C5B"/>
    <w:rsid w:val="008267D0"/>
    <w:rsid w:val="00831B6D"/>
    <w:rsid w:val="008550A9"/>
    <w:rsid w:val="00862C76"/>
    <w:rsid w:val="00863F96"/>
    <w:rsid w:val="008800C6"/>
    <w:rsid w:val="00893980"/>
    <w:rsid w:val="00893D20"/>
    <w:rsid w:val="00896E48"/>
    <w:rsid w:val="008B347A"/>
    <w:rsid w:val="008B54F3"/>
    <w:rsid w:val="008C7113"/>
    <w:rsid w:val="008E398A"/>
    <w:rsid w:val="008F3A05"/>
    <w:rsid w:val="008F57E4"/>
    <w:rsid w:val="00902508"/>
    <w:rsid w:val="009077F4"/>
    <w:rsid w:val="009139E3"/>
    <w:rsid w:val="0091464F"/>
    <w:rsid w:val="00916295"/>
    <w:rsid w:val="00924C2A"/>
    <w:rsid w:val="00926E18"/>
    <w:rsid w:val="00946D71"/>
    <w:rsid w:val="00956142"/>
    <w:rsid w:val="00957054"/>
    <w:rsid w:val="00962971"/>
    <w:rsid w:val="009631F6"/>
    <w:rsid w:val="00965860"/>
    <w:rsid w:val="00971C83"/>
    <w:rsid w:val="00980636"/>
    <w:rsid w:val="00986161"/>
    <w:rsid w:val="009927E9"/>
    <w:rsid w:val="009A53D6"/>
    <w:rsid w:val="009D42E4"/>
    <w:rsid w:val="009D6CB4"/>
    <w:rsid w:val="009D759F"/>
    <w:rsid w:val="009F7B9E"/>
    <w:rsid w:val="00A641C6"/>
    <w:rsid w:val="00A70FAA"/>
    <w:rsid w:val="00A7635D"/>
    <w:rsid w:val="00AA5DC4"/>
    <w:rsid w:val="00AC616C"/>
    <w:rsid w:val="00AE7E9B"/>
    <w:rsid w:val="00B02AF6"/>
    <w:rsid w:val="00B32D19"/>
    <w:rsid w:val="00B513A0"/>
    <w:rsid w:val="00B54191"/>
    <w:rsid w:val="00B61608"/>
    <w:rsid w:val="00B72CC6"/>
    <w:rsid w:val="00B75214"/>
    <w:rsid w:val="00B90C46"/>
    <w:rsid w:val="00B9688A"/>
    <w:rsid w:val="00BB661D"/>
    <w:rsid w:val="00BB6A50"/>
    <w:rsid w:val="00BE3063"/>
    <w:rsid w:val="00BE3F73"/>
    <w:rsid w:val="00C238A7"/>
    <w:rsid w:val="00C2542D"/>
    <w:rsid w:val="00C31FD6"/>
    <w:rsid w:val="00C459FA"/>
    <w:rsid w:val="00C46D81"/>
    <w:rsid w:val="00C50873"/>
    <w:rsid w:val="00C551C4"/>
    <w:rsid w:val="00C7736E"/>
    <w:rsid w:val="00C849BD"/>
    <w:rsid w:val="00CA40D5"/>
    <w:rsid w:val="00CB2BA7"/>
    <w:rsid w:val="00CB37C8"/>
    <w:rsid w:val="00CC6392"/>
    <w:rsid w:val="00CF6AF0"/>
    <w:rsid w:val="00D23C08"/>
    <w:rsid w:val="00D3289A"/>
    <w:rsid w:val="00D51B06"/>
    <w:rsid w:val="00D55C99"/>
    <w:rsid w:val="00D6721C"/>
    <w:rsid w:val="00D8258C"/>
    <w:rsid w:val="00D93337"/>
    <w:rsid w:val="00DA3010"/>
    <w:rsid w:val="00DA6178"/>
    <w:rsid w:val="00DB064B"/>
    <w:rsid w:val="00DD1501"/>
    <w:rsid w:val="00DD1A77"/>
    <w:rsid w:val="00DD58AB"/>
    <w:rsid w:val="00E2137C"/>
    <w:rsid w:val="00E24302"/>
    <w:rsid w:val="00E45859"/>
    <w:rsid w:val="00E62B43"/>
    <w:rsid w:val="00E67089"/>
    <w:rsid w:val="00E72CE3"/>
    <w:rsid w:val="00EA411E"/>
    <w:rsid w:val="00EA6077"/>
    <w:rsid w:val="00EB66C5"/>
    <w:rsid w:val="00EF0F53"/>
    <w:rsid w:val="00F05DE4"/>
    <w:rsid w:val="00F21DF7"/>
    <w:rsid w:val="00F272E1"/>
    <w:rsid w:val="00F31ED0"/>
    <w:rsid w:val="00F37E74"/>
    <w:rsid w:val="00F40EB5"/>
    <w:rsid w:val="00F53948"/>
    <w:rsid w:val="00F75554"/>
    <w:rsid w:val="00F93B37"/>
    <w:rsid w:val="00FA2C51"/>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87CEBE"/>
  <w15:docId w15:val="{26D414F3-BE12-4F9F-A708-12550829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E1"/>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F272E1"/>
    <w:pPr>
      <w:keepNext/>
      <w:outlineLvl w:val="1"/>
    </w:pPr>
    <w:rPr>
      <w:rFonts w:cs="Arial"/>
      <w:b/>
      <w:bCs/>
      <w:iCs/>
      <w:sz w:val="22"/>
      <w:szCs w:val="22"/>
    </w:rPr>
  </w:style>
  <w:style w:type="paragraph" w:styleId="Ttulo3">
    <w:name w:val="heading 3"/>
    <w:basedOn w:val="Normal"/>
    <w:next w:val="Normal"/>
    <w:qFormat/>
    <w:rsid w:val="00554580"/>
    <w:pPr>
      <w:keepNext/>
      <w:spacing w:before="240" w:after="60"/>
      <w:outlineLvl w:val="2"/>
    </w:pPr>
    <w:rPr>
      <w:rFonts w:cs="Arial"/>
      <w:b/>
      <w:bCs/>
      <w:i/>
      <w:szCs w:val="26"/>
    </w:rPr>
  </w:style>
  <w:style w:type="paragraph" w:styleId="Ttulo4">
    <w:name w:val="heading 4"/>
    <w:basedOn w:val="Normal"/>
    <w:next w:val="Normal"/>
    <w:qFormat/>
    <w:rsid w:val="00D55C99"/>
    <w:pPr>
      <w:keepNext/>
      <w:spacing w:before="240" w:after="60"/>
      <w:outlineLvl w:val="3"/>
    </w:pPr>
    <w:rPr>
      <w:bCs/>
      <w:i/>
      <w:szCs w:val="28"/>
    </w:rPr>
  </w:style>
  <w:style w:type="paragraph" w:styleId="Ttulo5">
    <w:name w:val="heading 5"/>
    <w:basedOn w:val="Normal"/>
    <w:next w:val="Normal"/>
    <w:link w:val="Ttulo5Car"/>
    <w:semiHidden/>
    <w:unhideWhenUsed/>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rsid w:val="00256628"/>
    <w:rPr>
      <w:rFonts w:ascii="Tahoma" w:hAnsi="Tahoma" w:cs="Tahoma"/>
      <w:sz w:val="16"/>
      <w:szCs w:val="16"/>
    </w:rPr>
  </w:style>
  <w:style w:type="character" w:customStyle="1" w:styleId="EncabezadoCar">
    <w:name w:val="Encabezado Car"/>
    <w:basedOn w:val="Fuentedeprrafopredeter"/>
    <w:link w:val="Encabezado"/>
    <w:uiPriority w:val="99"/>
    <w:rsid w:val="008F3A05"/>
    <w:rPr>
      <w:sz w:val="16"/>
      <w:szCs w:val="16"/>
    </w:rPr>
  </w:style>
  <w:style w:type="character" w:customStyle="1" w:styleId="PiedepginaCar">
    <w:name w:val="Pie de página Car"/>
    <w:basedOn w:val="Fuentedeprrafopredete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4"/>
      </w:numPr>
      <w:contextualSpacing/>
    </w:pPr>
  </w:style>
  <w:style w:type="character" w:styleId="Hipervnculo">
    <w:name w:val="Hyperlink"/>
    <w:basedOn w:val="Fuentedeprrafopredeter"/>
    <w:rsid w:val="00543BF3"/>
    <w:rPr>
      <w:color w:val="0000FF" w:themeColor="hyperlink"/>
      <w:u w:val="single"/>
    </w:rPr>
  </w:style>
  <w:style w:type="paragraph" w:styleId="Prrafodelista">
    <w:name w:val="List Paragraph"/>
    <w:basedOn w:val="Normal"/>
    <w:uiPriority w:val="34"/>
    <w:qFormat/>
    <w:rsid w:val="00A7635D"/>
    <w:pPr>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BE3F73"/>
    <w:pPr>
      <w:widowControl w:val="0"/>
      <w:tabs>
        <w:tab w:val="right" w:pos="9469"/>
      </w:tabs>
      <w:suppressAutoHyphens/>
      <w:spacing w:before="300" w:after="300" w:line="240" w:lineRule="exact"/>
    </w:pPr>
    <w:rPr>
      <w:rFonts w:ascii="Arial Narrow" w:eastAsia="Times" w:hAnsi="Arial Narrow"/>
      <w:kern w:val="20"/>
      <w:sz w:val="24"/>
      <w:lang w:val="es-ES" w:eastAsia="en-US"/>
    </w:rPr>
  </w:style>
  <w:style w:type="paragraph" w:styleId="Textoindependiente">
    <w:name w:val="Body Text"/>
    <w:basedOn w:val="Normal"/>
    <w:link w:val="TextoindependienteCar"/>
    <w:rsid w:val="00BE3F73"/>
  </w:style>
  <w:style w:type="character" w:customStyle="1" w:styleId="TextoindependienteCar">
    <w:name w:val="Texto independiente Car"/>
    <w:basedOn w:val="Fuentedeprrafopredeter"/>
    <w:link w:val="Textoindependiente"/>
    <w:uiPriority w:val="1"/>
    <w:rsid w:val="00BE3F73"/>
    <w:rPr>
      <w:lang w:val="en-US"/>
    </w:rPr>
  </w:style>
  <w:style w:type="character" w:customStyle="1" w:styleId="Ttulo5Car">
    <w:name w:val="Título 5 Car"/>
    <w:basedOn w:val="Fuentedeprrafopredeter"/>
    <w:link w:val="Ttulo5"/>
    <w:semiHidden/>
    <w:rsid w:val="00D93337"/>
    <w:rPr>
      <w:rFonts w:asciiTheme="majorHAnsi" w:eastAsiaTheme="majorEastAsia" w:hAnsiTheme="majorHAnsi" w:cstheme="majorBidi"/>
      <w:color w:val="243F60" w:themeColor="accent1" w:themeShade="7F"/>
      <w:lang w:val="en-US"/>
    </w:rPr>
  </w:style>
  <w:style w:type="table" w:customStyle="1" w:styleId="Listaclara-nfasis11">
    <w:name w:val="Lista clara - Énfasis 11"/>
    <w:basedOn w:val="Tablanormal"/>
    <w:uiPriority w:val="61"/>
    <w:rsid w:val="00DD1501"/>
    <w:rPr>
      <w:rFonts w:asciiTheme="minorHAnsi" w:eastAsiaTheme="minorHAnsi" w:hAnsiTheme="minorHAnsi" w:cstheme="minorBidi"/>
      <w:sz w:val="22"/>
      <w:szCs w:val="22"/>
      <w:lang w:val="es-ES_tradnl"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aconcuadrcula">
    <w:name w:val="Table Grid"/>
    <w:basedOn w:val="Tablanormal"/>
    <w:uiPriority w:val="59"/>
    <w:rsid w:val="00DD1501"/>
    <w:rPr>
      <w:rFonts w:asciiTheme="minorHAnsi" w:eastAsiaTheme="minorEastAsia" w:hAnsiTheme="minorHAnsi" w:cstheme="minorBidi"/>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agriculture/external-studies/support-farmers-coop_e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nd/4.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nd/4.0/"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nc-nd/4.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dx.doi.org/10.4995/HEAD.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91E2-83CB-44C0-B634-B6D090FF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7090</Words>
  <Characters>38999</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45998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jlorcam</dc:creator>
  <cp:lastModifiedBy>Tamara Boronat Soler</cp:lastModifiedBy>
  <cp:revision>2</cp:revision>
  <cp:lastPrinted>2015-09-25T07:47:00Z</cp:lastPrinted>
  <dcterms:created xsi:type="dcterms:W3CDTF">2015-12-02T18:08:00Z</dcterms:created>
  <dcterms:modified xsi:type="dcterms:W3CDTF">2015-12-02T18:08:00Z</dcterms:modified>
</cp:coreProperties>
</file>